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B7E4A" w14:textId="77777777" w:rsidR="006F0DCC" w:rsidRPr="005C47CD" w:rsidRDefault="006F0DCC" w:rsidP="002630AA">
      <w:pPr>
        <w:overflowPunct/>
        <w:adjustRightInd/>
        <w:jc w:val="center"/>
        <w:textAlignment w:val="auto"/>
        <w:rPr>
          <w:rFonts w:ascii="Arial" w:hAnsi="Arial" w:cs="Arial"/>
          <w:b/>
          <w:i/>
          <w:sz w:val="20"/>
        </w:rPr>
      </w:pPr>
      <w:r w:rsidRPr="005C47CD">
        <w:rPr>
          <w:noProof/>
          <w:lang w:val="fr-FR" w:eastAsia="fr-FR"/>
        </w:rPr>
        <w:drawing>
          <wp:inline distT="0" distB="0" distL="0" distR="0" wp14:anchorId="756301E9" wp14:editId="724D2F58">
            <wp:extent cx="874395" cy="564515"/>
            <wp:effectExtent l="0" t="0" r="190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4395" cy="564515"/>
                    </a:xfrm>
                    <a:prstGeom prst="rect">
                      <a:avLst/>
                    </a:prstGeom>
                    <a:noFill/>
                    <a:ln>
                      <a:noFill/>
                    </a:ln>
                  </pic:spPr>
                </pic:pic>
              </a:graphicData>
            </a:graphic>
          </wp:inline>
        </w:drawing>
      </w:r>
      <w:r w:rsidRPr="005C47CD">
        <w:rPr>
          <w:noProof/>
          <w:lang w:val="fr-FR" w:eastAsia="fr-FR"/>
        </w:rPr>
        <mc:AlternateContent>
          <mc:Choice Requires="wps">
            <w:drawing>
              <wp:anchor distT="0" distB="0" distL="114300" distR="114300" simplePos="0" relativeHeight="251659264" behindDoc="1" locked="0" layoutInCell="0" allowOverlap="1" wp14:anchorId="161E2BCC" wp14:editId="1E82E915">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93322" w14:textId="77777777" w:rsidR="00D265B6" w:rsidRPr="00926D21" w:rsidRDefault="00D265B6" w:rsidP="00926D21">
                            <w:pPr>
                              <w:overflowPunct/>
                              <w:adjustRightInd/>
                              <w:jc w:val="center"/>
                              <w:textAlignment w:val="auto"/>
                              <w:rPr>
                                <w:rFonts w:ascii="Arial" w:hAnsi="Arial" w:cs="Arial"/>
                                <w:b/>
                                <w:sz w:val="48"/>
                              </w:rPr>
                            </w:pPr>
                            <w:r w:rsidRPr="00926D21">
                              <w:rPr>
                                <w:rFonts w:ascii="Arial" w:hAnsi="Arial" w:cs="Arial"/>
                                <w:b/>
                                <w:sz w:val="48"/>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1E2BCC" id="_x0000_t202" coordsize="21600,21600" o:spt="202" path="m,l,21600r21600,l21600,xe">
                <v:stroke joinstyle="miter"/>
                <v:path gradientshapeok="t" o:connecttype="rect"/>
              </v:shapetype>
              <v:shape id="Text Box 17" o:spid="_x0000_s1026" type="#_x0000_t202"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l4Qt8rYCAAC6&#10;BQAADgAAAAAAAAAAAAAAAAAuAgAAZHJzL2Uyb0RvYy54bWxQSwECLQAUAAYACAAAACEA61QxWt4A&#10;AAAPAQAADwAAAAAAAAAAAAAAAAAQBQAAZHJzL2Rvd25yZXYueG1sUEsFBgAAAAAEAAQA8wAAABsG&#10;AAAAAA==&#10;" o:allowincell="f" filled="f" stroked="f">
                <v:textbox>
                  <w:txbxContent>
                    <w:p w14:paraId="63E93322" w14:textId="77777777" w:rsidR="00D265B6" w:rsidRPr="00926D21" w:rsidRDefault="00D265B6" w:rsidP="00926D21">
                      <w:pPr>
                        <w:overflowPunct/>
                        <w:adjustRightInd/>
                        <w:jc w:val="center"/>
                        <w:textAlignment w:val="auto"/>
                        <w:rPr>
                          <w:rFonts w:ascii="Arial" w:hAnsi="Arial" w:cs="Arial"/>
                          <w:b/>
                          <w:sz w:val="48"/>
                        </w:rPr>
                      </w:pPr>
                      <w:r w:rsidRPr="00926D21">
                        <w:rPr>
                          <w:rFonts w:ascii="Arial" w:hAnsi="Arial" w:cs="Arial"/>
                          <w:b/>
                          <w:sz w:val="48"/>
                        </w:rPr>
                        <w:t>EN</w:t>
                      </w:r>
                    </w:p>
                  </w:txbxContent>
                </v:textbox>
                <w10:wrap anchorx="page" anchory="page"/>
              </v:shape>
            </w:pict>
          </mc:Fallback>
        </mc:AlternateContent>
      </w:r>
    </w:p>
    <w:p w14:paraId="1DCD698C" w14:textId="450895AE" w:rsidR="00563C84" w:rsidRPr="005C47CD" w:rsidRDefault="006F0DCC" w:rsidP="002630AA">
      <w:pPr>
        <w:overflowPunct/>
        <w:adjustRightInd/>
        <w:jc w:val="center"/>
        <w:textAlignment w:val="auto"/>
      </w:pPr>
      <w:r w:rsidRPr="005C47CD">
        <w:rPr>
          <w:rFonts w:ascii="Arial" w:hAnsi="Arial" w:cs="Arial"/>
          <w:b/>
          <w:i/>
          <w:sz w:val="20"/>
        </w:rPr>
        <w:t>European Economic and Social Committee</w:t>
      </w:r>
    </w:p>
    <w:p w14:paraId="6C56E637" w14:textId="77777777" w:rsidR="00646AC2" w:rsidRPr="005C47CD" w:rsidRDefault="00646AC2" w:rsidP="002630AA">
      <w:pPr>
        <w:overflowPunct/>
        <w:adjustRightInd/>
        <w:textAlignment w:val="auto"/>
      </w:pPr>
    </w:p>
    <w:p w14:paraId="7BEFE832" w14:textId="77777777" w:rsidR="00684983" w:rsidRPr="005C47CD" w:rsidRDefault="00684983" w:rsidP="002630AA">
      <w:pPr>
        <w:overflowPunct/>
        <w:adjustRightInd/>
        <w:jc w:val="right"/>
        <w:textAlignment w:val="auto"/>
        <w:rPr>
          <w:b/>
        </w:rPr>
      </w:pPr>
      <w:r w:rsidRPr="005C47CD">
        <w:rPr>
          <w:b/>
        </w:rPr>
        <w:t>TEN/605</w:t>
      </w:r>
    </w:p>
    <w:p w14:paraId="688135D8" w14:textId="40EA6C3E" w:rsidR="00563C84" w:rsidRPr="005C47CD" w:rsidRDefault="00684983" w:rsidP="002630AA">
      <w:pPr>
        <w:overflowPunct/>
        <w:adjustRightInd/>
        <w:jc w:val="right"/>
        <w:textAlignment w:val="auto"/>
        <w:rPr>
          <w:b/>
        </w:rPr>
      </w:pPr>
      <w:r w:rsidRPr="005C47CD">
        <w:rPr>
          <w:b/>
        </w:rPr>
        <w:t xml:space="preserve">Application of the Decision on public compensation for the provision </w:t>
      </w:r>
      <w:r w:rsidR="00D420DE" w:rsidRPr="005C47CD">
        <w:rPr>
          <w:b/>
        </w:rPr>
        <w:br/>
      </w:r>
      <w:r w:rsidRPr="005C47CD">
        <w:rPr>
          <w:b/>
        </w:rPr>
        <w:t>of services of general economic interest (2012/21/UE)</w:t>
      </w:r>
    </w:p>
    <w:p w14:paraId="6CFD7E7E" w14:textId="77777777" w:rsidR="009B30AA" w:rsidRPr="005C47CD" w:rsidRDefault="009B30AA">
      <w:pPr>
        <w:overflowPunct/>
        <w:adjustRightInd/>
        <w:textAlignment w:val="auto"/>
      </w:pPr>
    </w:p>
    <w:p w14:paraId="7696EDD1" w14:textId="77777777" w:rsidR="009B30AA" w:rsidRPr="005C47CD" w:rsidRDefault="009B30AA">
      <w:pPr>
        <w:overflowPunct/>
        <w:adjustRightInd/>
        <w:textAlignment w:val="auto"/>
      </w:pPr>
    </w:p>
    <w:p w14:paraId="3FFB7F61" w14:textId="54360143" w:rsidR="00646AC2" w:rsidRPr="005C47CD" w:rsidRDefault="00481512">
      <w:pPr>
        <w:overflowPunct/>
        <w:adjustRightInd/>
        <w:jc w:val="center"/>
        <w:textAlignment w:val="auto"/>
      </w:pPr>
      <w:r w:rsidRPr="005C47CD">
        <w:rPr>
          <w:b/>
          <w:sz w:val="28"/>
        </w:rPr>
        <w:t>PRELIMINARY DRAFT OPINION</w:t>
      </w:r>
      <w:r w:rsidR="00563C84" w:rsidRPr="005C47CD">
        <w:br/>
      </w:r>
      <w:r w:rsidR="00563C84" w:rsidRPr="005C47CD">
        <w:br/>
        <w:t xml:space="preserve">Section for </w:t>
      </w:r>
      <w:r w:rsidR="0066778A" w:rsidRPr="005C47CD">
        <w:t>Transport, Energy, Infrastructure and the Information Society</w:t>
      </w:r>
      <w:r w:rsidR="00563C84" w:rsidRPr="005C47CD">
        <w:br/>
      </w:r>
      <w:r w:rsidR="00563C84" w:rsidRPr="005C47CD">
        <w:br/>
      </w:r>
      <w:r w:rsidR="00684983" w:rsidRPr="005C47CD">
        <w:rPr>
          <w:b/>
        </w:rPr>
        <w:t xml:space="preserve">Application of the Decision on public compensation for the provision </w:t>
      </w:r>
      <w:r w:rsidR="002630AA" w:rsidRPr="005C47CD">
        <w:rPr>
          <w:b/>
        </w:rPr>
        <w:br/>
      </w:r>
      <w:r w:rsidR="00684983" w:rsidRPr="005C47CD">
        <w:rPr>
          <w:b/>
        </w:rPr>
        <w:t>of services of general economic interest (2012/21/UE)</w:t>
      </w:r>
      <w:r w:rsidR="00563C84" w:rsidRPr="005C47CD">
        <w:br/>
      </w:r>
      <w:r w:rsidR="00684983" w:rsidRPr="005C47CD">
        <w:t>Own-initiative opinion</w:t>
      </w:r>
    </w:p>
    <w:p w14:paraId="4EA792EF" w14:textId="77777777" w:rsidR="009B30AA" w:rsidRPr="005C47CD" w:rsidRDefault="009B30AA">
      <w:pPr>
        <w:overflowPunct/>
        <w:adjustRightInd/>
        <w:jc w:val="center"/>
        <w:textAlignment w:val="auto"/>
      </w:pPr>
    </w:p>
    <w:tbl>
      <w:tblPr>
        <w:tblpPr w:leftFromText="181" w:rightFromText="181" w:tblpYSpec="bottom"/>
        <w:tblOverlap w:val="never"/>
        <w:tblW w:w="0" w:type="auto"/>
        <w:tblLayout w:type="fixed"/>
        <w:tblLook w:val="04A0" w:firstRow="1" w:lastRow="0" w:firstColumn="1" w:lastColumn="0" w:noHBand="0" w:noVBand="1"/>
      </w:tblPr>
      <w:tblGrid>
        <w:gridCol w:w="3085"/>
        <w:gridCol w:w="6204"/>
      </w:tblGrid>
      <w:tr w:rsidR="00FF3759" w:rsidRPr="005C47CD" w14:paraId="185D7275" w14:textId="77777777" w:rsidTr="00CB10B0">
        <w:tc>
          <w:tcPr>
            <w:tcW w:w="9289" w:type="dxa"/>
            <w:gridSpan w:val="2"/>
          </w:tcPr>
          <w:p w14:paraId="7588B38F" w14:textId="1BAF5F9D" w:rsidR="00FF3759" w:rsidRPr="005C47CD" w:rsidRDefault="00EE4E3B" w:rsidP="000D2E05">
            <w:pPr>
              <w:overflowPunct/>
              <w:adjustRightInd/>
              <w:jc w:val="left"/>
              <w:textAlignment w:val="auto"/>
              <w:rPr>
                <w:szCs w:val="22"/>
              </w:rPr>
            </w:pPr>
            <w:r w:rsidRPr="005C47CD">
              <w:t>For the attention of the study group members</w:t>
            </w:r>
          </w:p>
        </w:tc>
      </w:tr>
      <w:tr w:rsidR="00FF3759" w:rsidRPr="005C47CD" w14:paraId="2C8D8C3C" w14:textId="77777777" w:rsidTr="00CB10B0">
        <w:tc>
          <w:tcPr>
            <w:tcW w:w="9289" w:type="dxa"/>
            <w:gridSpan w:val="2"/>
          </w:tcPr>
          <w:p w14:paraId="5E278105" w14:textId="77777777" w:rsidR="00FF3759" w:rsidRPr="005C47CD" w:rsidRDefault="00FF3759" w:rsidP="000D2E05">
            <w:pPr>
              <w:overflowPunct/>
              <w:adjustRightInd/>
              <w:jc w:val="left"/>
              <w:textAlignment w:val="auto"/>
              <w:rPr>
                <w:szCs w:val="22"/>
                <w:lang w:eastAsia="en-GB" w:bidi="en-GB"/>
              </w:rPr>
            </w:pPr>
          </w:p>
        </w:tc>
      </w:tr>
      <w:tr w:rsidR="00FF3759" w:rsidRPr="005C47CD" w14:paraId="2A456EC9" w14:textId="77777777" w:rsidTr="00CB10B0">
        <w:tc>
          <w:tcPr>
            <w:tcW w:w="3085" w:type="dxa"/>
          </w:tcPr>
          <w:p w14:paraId="2A0E32E0" w14:textId="7E778468" w:rsidR="00FF3759" w:rsidRPr="005C47CD" w:rsidRDefault="00FF3759" w:rsidP="000D2E05">
            <w:pPr>
              <w:overflowPunct/>
              <w:adjustRightInd/>
              <w:jc w:val="left"/>
              <w:textAlignment w:val="auto"/>
              <w:rPr>
                <w:szCs w:val="22"/>
              </w:rPr>
            </w:pPr>
            <w:r w:rsidRPr="005C47CD">
              <w:t>Study group meeting</w:t>
            </w:r>
          </w:p>
        </w:tc>
        <w:tc>
          <w:tcPr>
            <w:tcW w:w="6204" w:type="dxa"/>
          </w:tcPr>
          <w:p w14:paraId="7DC283C1" w14:textId="36DB48AC" w:rsidR="00FF3759" w:rsidRPr="005C47CD" w:rsidRDefault="00481512" w:rsidP="000D2E05">
            <w:pPr>
              <w:overflowPunct/>
              <w:adjustRightInd/>
              <w:jc w:val="left"/>
              <w:textAlignment w:val="auto"/>
              <w:rPr>
                <w:szCs w:val="22"/>
              </w:rPr>
            </w:pPr>
            <w:r w:rsidRPr="005C47CD">
              <w:t>10/05</w:t>
            </w:r>
            <w:r w:rsidR="00684983" w:rsidRPr="005C47CD">
              <w:t>/2017</w:t>
            </w:r>
            <w:r w:rsidR="00FF3759" w:rsidRPr="005C47CD">
              <w:t>, 9:30</w:t>
            </w:r>
          </w:p>
        </w:tc>
      </w:tr>
      <w:tr w:rsidR="00FF3759" w:rsidRPr="005C47CD" w14:paraId="7E1E2A7A" w14:textId="77777777" w:rsidTr="00CD4855">
        <w:tc>
          <w:tcPr>
            <w:tcW w:w="3085" w:type="dxa"/>
          </w:tcPr>
          <w:p w14:paraId="44539BCE" w14:textId="387E88F7" w:rsidR="00FF3759" w:rsidRPr="005C47CD" w:rsidRDefault="00FF3759" w:rsidP="000D2E05">
            <w:pPr>
              <w:overflowPunct/>
              <w:adjustRightInd/>
              <w:jc w:val="left"/>
              <w:textAlignment w:val="auto"/>
              <w:rPr>
                <w:b/>
                <w:szCs w:val="22"/>
                <w:lang w:eastAsia="en-GB" w:bidi="en-GB"/>
              </w:rPr>
            </w:pPr>
            <w:r w:rsidRPr="005C47CD">
              <w:t>Contact</w:t>
            </w:r>
          </w:p>
        </w:tc>
        <w:tc>
          <w:tcPr>
            <w:tcW w:w="6204" w:type="dxa"/>
          </w:tcPr>
          <w:p w14:paraId="568D19A8" w14:textId="60EC188F" w:rsidR="00FF3759" w:rsidRPr="005C47CD" w:rsidRDefault="00CA5E04" w:rsidP="000D2E05">
            <w:pPr>
              <w:overflowPunct/>
              <w:adjustRightInd/>
              <w:jc w:val="left"/>
              <w:textAlignment w:val="auto"/>
              <w:rPr>
                <w:b/>
                <w:szCs w:val="22"/>
              </w:rPr>
            </w:pPr>
            <w:hyperlink r:id="rId13" w:history="1">
              <w:r w:rsidR="00684983" w:rsidRPr="005C47CD">
                <w:rPr>
                  <w:rStyle w:val="Hyperlink"/>
                </w:rPr>
                <w:t>ten@eesc.europa.eu</w:t>
              </w:r>
            </w:hyperlink>
          </w:p>
        </w:tc>
      </w:tr>
      <w:tr w:rsidR="00FF3759" w:rsidRPr="005C47CD" w14:paraId="69B32683" w14:textId="77777777" w:rsidTr="00CD4855">
        <w:tc>
          <w:tcPr>
            <w:tcW w:w="3085" w:type="dxa"/>
          </w:tcPr>
          <w:p w14:paraId="024A3F9B" w14:textId="1F843296" w:rsidR="00FF3759" w:rsidRPr="005C47CD" w:rsidRDefault="00FF3759" w:rsidP="000D2E05">
            <w:pPr>
              <w:overflowPunct/>
              <w:adjustRightInd/>
              <w:jc w:val="left"/>
              <w:textAlignment w:val="auto"/>
              <w:rPr>
                <w:szCs w:val="22"/>
              </w:rPr>
            </w:pPr>
            <w:r w:rsidRPr="005C47CD">
              <w:t>Administrator</w:t>
            </w:r>
          </w:p>
        </w:tc>
        <w:tc>
          <w:tcPr>
            <w:tcW w:w="6204" w:type="dxa"/>
          </w:tcPr>
          <w:p w14:paraId="7576CD69" w14:textId="2D64E50E" w:rsidR="00FF3759" w:rsidRPr="005C47CD" w:rsidRDefault="00684983" w:rsidP="000D2E05">
            <w:pPr>
              <w:overflowPunct/>
              <w:adjustRightInd/>
              <w:jc w:val="left"/>
              <w:textAlignment w:val="auto"/>
              <w:rPr>
                <w:szCs w:val="22"/>
              </w:rPr>
            </w:pPr>
            <w:proofErr w:type="spellStart"/>
            <w:r w:rsidRPr="005C47CD">
              <w:t>Agota</w:t>
            </w:r>
            <w:proofErr w:type="spellEnd"/>
            <w:r w:rsidRPr="005C47CD">
              <w:t xml:space="preserve"> BAZSIK</w:t>
            </w:r>
          </w:p>
        </w:tc>
      </w:tr>
      <w:tr w:rsidR="00FF3759" w:rsidRPr="005C47CD" w14:paraId="3E20C2A0" w14:textId="77777777" w:rsidTr="00CD4855">
        <w:tc>
          <w:tcPr>
            <w:tcW w:w="3085" w:type="dxa"/>
          </w:tcPr>
          <w:p w14:paraId="18D9599E" w14:textId="5753A022" w:rsidR="00FF3759" w:rsidRPr="005C47CD" w:rsidRDefault="00FF3759" w:rsidP="000D2E05">
            <w:pPr>
              <w:overflowPunct/>
              <w:adjustRightInd/>
              <w:jc w:val="left"/>
              <w:textAlignment w:val="auto"/>
              <w:rPr>
                <w:szCs w:val="22"/>
              </w:rPr>
            </w:pPr>
            <w:r w:rsidRPr="005C47CD">
              <w:t>Document date</w:t>
            </w:r>
          </w:p>
        </w:tc>
        <w:tc>
          <w:tcPr>
            <w:tcW w:w="6204" w:type="dxa"/>
          </w:tcPr>
          <w:p w14:paraId="654FB6B2" w14:textId="61ED0D0E" w:rsidR="00FF3759" w:rsidRPr="005C47CD" w:rsidRDefault="00481512" w:rsidP="000D2E05">
            <w:pPr>
              <w:overflowPunct/>
              <w:adjustRightInd/>
              <w:jc w:val="left"/>
              <w:textAlignment w:val="auto"/>
              <w:rPr>
                <w:szCs w:val="22"/>
              </w:rPr>
            </w:pPr>
            <w:r w:rsidRPr="005C47CD">
              <w:t>25/04</w:t>
            </w:r>
            <w:r w:rsidR="008C5B8F" w:rsidRPr="005C47CD">
              <w:t>/2017</w:t>
            </w:r>
          </w:p>
        </w:tc>
      </w:tr>
    </w:tbl>
    <w:p w14:paraId="314E7290" w14:textId="0D141941" w:rsidR="00704FBB" w:rsidRPr="005C47CD" w:rsidRDefault="007F5E0D">
      <w:pPr>
        <w:overflowPunct/>
        <w:adjustRightInd/>
        <w:jc w:val="center"/>
        <w:textAlignment w:val="auto"/>
      </w:pPr>
      <w:r w:rsidRPr="005C47CD">
        <w:t xml:space="preserve">Rapporteur: </w:t>
      </w:r>
      <w:r w:rsidR="00684983" w:rsidRPr="005C47CD">
        <w:rPr>
          <w:b/>
        </w:rPr>
        <w:t>Milena ANGELOVA</w:t>
      </w:r>
    </w:p>
    <w:p w14:paraId="40E5DE71" w14:textId="1549509E" w:rsidR="00704FBB" w:rsidRPr="005C47CD" w:rsidRDefault="00704FBB" w:rsidP="000D2E05">
      <w:pPr>
        <w:overflowPunct/>
        <w:adjustRightInd/>
        <w:jc w:val="left"/>
        <w:textAlignment w:val="auto"/>
      </w:pPr>
    </w:p>
    <w:p w14:paraId="1F37531D" w14:textId="77777777" w:rsidR="00646AC2" w:rsidRPr="005C47CD" w:rsidRDefault="00646AC2">
      <w:pPr>
        <w:overflowPunct/>
        <w:adjustRightInd/>
        <w:textAlignment w:val="auto"/>
      </w:pPr>
    </w:p>
    <w:p w14:paraId="298DDD79" w14:textId="0937CE16" w:rsidR="00646AC2" w:rsidRPr="005C47CD" w:rsidRDefault="00646AC2">
      <w:pPr>
        <w:overflowPunct/>
        <w:adjustRightInd/>
        <w:textAlignment w:val="auto"/>
        <w:sectPr w:rsidR="00646AC2" w:rsidRPr="005C47CD" w:rsidSect="00C133A6">
          <w:headerReference w:type="even" r:id="rId14"/>
          <w:headerReference w:type="default" r:id="rId15"/>
          <w:footerReference w:type="even" r:id="rId16"/>
          <w:footerReference w:type="default" r:id="rId17"/>
          <w:headerReference w:type="first" r:id="rId18"/>
          <w:footerReference w:type="first" r:id="rId19"/>
          <w:pgSz w:w="11907" w:h="16839" w:code="9"/>
          <w:pgMar w:top="1417" w:right="1417" w:bottom="1417" w:left="1417" w:header="709" w:footer="709" w:gutter="0"/>
          <w:pgNumType w:start="1"/>
          <w:cols w:space="720"/>
          <w:docGrid w:linePitch="299"/>
        </w:sectPr>
      </w:pPr>
    </w:p>
    <w:tbl>
      <w:tblPr>
        <w:tblW w:w="0" w:type="auto"/>
        <w:tblLook w:val="04A0" w:firstRow="1" w:lastRow="0" w:firstColumn="1" w:lastColumn="0" w:noHBand="0" w:noVBand="1"/>
      </w:tblPr>
      <w:tblGrid>
        <w:gridCol w:w="3023"/>
        <w:gridCol w:w="6050"/>
      </w:tblGrid>
      <w:tr w:rsidR="0011656A" w:rsidRPr="005C47CD" w14:paraId="19241B83" w14:textId="77777777" w:rsidTr="00CD4855">
        <w:tc>
          <w:tcPr>
            <w:tcW w:w="3085" w:type="dxa"/>
          </w:tcPr>
          <w:p w14:paraId="1026D143" w14:textId="77777777" w:rsidR="0011656A" w:rsidRPr="005C47CD" w:rsidRDefault="0011656A">
            <w:pPr>
              <w:overflowPunct/>
              <w:adjustRightInd/>
              <w:textAlignment w:val="auto"/>
              <w:rPr>
                <w:szCs w:val="22"/>
              </w:rPr>
            </w:pPr>
            <w:r w:rsidRPr="005C47CD">
              <w:lastRenderedPageBreak/>
              <w:t>Study Group</w:t>
            </w:r>
          </w:p>
        </w:tc>
        <w:tc>
          <w:tcPr>
            <w:tcW w:w="6204" w:type="dxa"/>
          </w:tcPr>
          <w:p w14:paraId="3C36B0A9" w14:textId="0BEC42F5" w:rsidR="0011656A" w:rsidRPr="005C47CD" w:rsidRDefault="00684983">
            <w:pPr>
              <w:overflowPunct/>
              <w:adjustRightInd/>
              <w:jc w:val="left"/>
              <w:textAlignment w:val="auto"/>
              <w:rPr>
                <w:szCs w:val="22"/>
              </w:rPr>
            </w:pPr>
            <w:r w:rsidRPr="005C47CD">
              <w:t>Application of the Decision on public compensation for the provision of services of general economic interest (2012/21/UE)</w:t>
            </w:r>
          </w:p>
        </w:tc>
      </w:tr>
      <w:tr w:rsidR="00033913" w:rsidRPr="005C47CD" w14:paraId="2DE51DB9" w14:textId="77777777" w:rsidTr="00CD4855">
        <w:tc>
          <w:tcPr>
            <w:tcW w:w="3085" w:type="dxa"/>
          </w:tcPr>
          <w:p w14:paraId="064A76AE" w14:textId="77777777" w:rsidR="00033913" w:rsidRPr="005C47CD" w:rsidRDefault="00033913">
            <w:pPr>
              <w:overflowPunct/>
              <w:adjustRightInd/>
              <w:textAlignment w:val="auto"/>
              <w:rPr>
                <w:szCs w:val="22"/>
              </w:rPr>
            </w:pPr>
          </w:p>
        </w:tc>
        <w:tc>
          <w:tcPr>
            <w:tcW w:w="6204" w:type="dxa"/>
          </w:tcPr>
          <w:p w14:paraId="71B7A941" w14:textId="77777777" w:rsidR="00033913" w:rsidRPr="005C47CD" w:rsidRDefault="00033913">
            <w:pPr>
              <w:overflowPunct/>
              <w:adjustRightInd/>
              <w:jc w:val="left"/>
              <w:textAlignment w:val="auto"/>
              <w:rPr>
                <w:szCs w:val="22"/>
              </w:rPr>
            </w:pPr>
          </w:p>
        </w:tc>
      </w:tr>
      <w:tr w:rsidR="0011656A" w:rsidRPr="005C47CD" w14:paraId="2751791C" w14:textId="77777777" w:rsidTr="00CD4855">
        <w:tc>
          <w:tcPr>
            <w:tcW w:w="3085" w:type="dxa"/>
          </w:tcPr>
          <w:p w14:paraId="19403B72" w14:textId="54F6B0F3" w:rsidR="0011656A" w:rsidRPr="005C47CD" w:rsidRDefault="0011656A">
            <w:pPr>
              <w:overflowPunct/>
              <w:adjustRightInd/>
              <w:textAlignment w:val="auto"/>
              <w:rPr>
                <w:szCs w:val="22"/>
              </w:rPr>
            </w:pPr>
            <w:r w:rsidRPr="005C47CD">
              <w:t>President</w:t>
            </w:r>
          </w:p>
        </w:tc>
        <w:tc>
          <w:tcPr>
            <w:tcW w:w="6204" w:type="dxa"/>
          </w:tcPr>
          <w:p w14:paraId="5035497F" w14:textId="5D776514" w:rsidR="0011656A" w:rsidRPr="005C47CD" w:rsidRDefault="00684983">
            <w:pPr>
              <w:overflowPunct/>
              <w:adjustRightInd/>
              <w:jc w:val="left"/>
              <w:textAlignment w:val="auto"/>
              <w:rPr>
                <w:szCs w:val="22"/>
              </w:rPr>
            </w:pPr>
            <w:r w:rsidRPr="005C47CD">
              <w:t>Bernardo HERNÁNDEZ BATALLER (ES-III)</w:t>
            </w:r>
          </w:p>
        </w:tc>
      </w:tr>
      <w:tr w:rsidR="0011656A" w:rsidRPr="005C47CD" w14:paraId="69695FA0" w14:textId="77777777" w:rsidTr="00CD4855">
        <w:tc>
          <w:tcPr>
            <w:tcW w:w="3085" w:type="dxa"/>
          </w:tcPr>
          <w:p w14:paraId="7B9FF731" w14:textId="16EF4FB1" w:rsidR="0011656A" w:rsidRPr="005C47CD" w:rsidRDefault="0011656A">
            <w:pPr>
              <w:overflowPunct/>
              <w:adjustRightInd/>
              <w:textAlignment w:val="auto"/>
              <w:rPr>
                <w:szCs w:val="22"/>
              </w:rPr>
            </w:pPr>
            <w:r w:rsidRPr="005C47CD">
              <w:t>Rapporteur</w:t>
            </w:r>
          </w:p>
        </w:tc>
        <w:tc>
          <w:tcPr>
            <w:tcW w:w="6204" w:type="dxa"/>
          </w:tcPr>
          <w:p w14:paraId="42DB12B4" w14:textId="22BF21C6" w:rsidR="0011656A" w:rsidRPr="005C47CD" w:rsidRDefault="00684983">
            <w:pPr>
              <w:overflowPunct/>
              <w:adjustRightInd/>
              <w:jc w:val="left"/>
              <w:textAlignment w:val="auto"/>
              <w:rPr>
                <w:szCs w:val="22"/>
                <w:lang w:val="it-IT"/>
              </w:rPr>
            </w:pPr>
            <w:r w:rsidRPr="005C47CD">
              <w:rPr>
                <w:lang w:val="it-IT"/>
              </w:rPr>
              <w:t xml:space="preserve">Milena ANGELOVA (BG-I) </w:t>
            </w:r>
            <w:r w:rsidRPr="005C47CD">
              <w:rPr>
                <w:sz w:val="18"/>
                <w:lang w:val="it-IT"/>
              </w:rPr>
              <w:t>(Rule 62 Bojidar DANEV)</w:t>
            </w:r>
          </w:p>
        </w:tc>
      </w:tr>
      <w:tr w:rsidR="008C3049" w:rsidRPr="005C47CD" w14:paraId="00723271" w14:textId="77777777" w:rsidTr="00CD4855">
        <w:tc>
          <w:tcPr>
            <w:tcW w:w="3085" w:type="dxa"/>
          </w:tcPr>
          <w:p w14:paraId="0B26C13B" w14:textId="77777777" w:rsidR="008C3049" w:rsidRPr="005C47CD" w:rsidRDefault="008C3049">
            <w:pPr>
              <w:overflowPunct/>
              <w:adjustRightInd/>
              <w:textAlignment w:val="auto"/>
              <w:rPr>
                <w:szCs w:val="22"/>
                <w:lang w:val="it-IT"/>
              </w:rPr>
            </w:pPr>
          </w:p>
        </w:tc>
        <w:tc>
          <w:tcPr>
            <w:tcW w:w="6204" w:type="dxa"/>
          </w:tcPr>
          <w:p w14:paraId="68CFA177" w14:textId="77777777" w:rsidR="008C3049" w:rsidRPr="005C47CD" w:rsidRDefault="008C3049">
            <w:pPr>
              <w:overflowPunct/>
              <w:adjustRightInd/>
              <w:jc w:val="left"/>
              <w:textAlignment w:val="auto"/>
              <w:rPr>
                <w:szCs w:val="22"/>
                <w:lang w:val="it-IT"/>
              </w:rPr>
            </w:pPr>
          </w:p>
        </w:tc>
      </w:tr>
      <w:tr w:rsidR="0011656A" w:rsidRPr="005C47CD" w14:paraId="1AADCA75" w14:textId="77777777" w:rsidTr="00CD4855">
        <w:tc>
          <w:tcPr>
            <w:tcW w:w="3085" w:type="dxa"/>
          </w:tcPr>
          <w:p w14:paraId="0A866DF8" w14:textId="75D104FA" w:rsidR="0011656A" w:rsidRPr="005C47CD" w:rsidRDefault="0011656A">
            <w:pPr>
              <w:overflowPunct/>
              <w:adjustRightInd/>
              <w:textAlignment w:val="auto"/>
              <w:rPr>
                <w:szCs w:val="22"/>
              </w:rPr>
            </w:pPr>
            <w:r w:rsidRPr="005C47CD">
              <w:t>Members</w:t>
            </w:r>
          </w:p>
        </w:tc>
        <w:tc>
          <w:tcPr>
            <w:tcW w:w="6204" w:type="dxa"/>
          </w:tcPr>
          <w:p w14:paraId="46922881" w14:textId="77777777" w:rsidR="00684983" w:rsidRPr="005C47CD" w:rsidRDefault="00684983">
            <w:pPr>
              <w:overflowPunct/>
              <w:adjustRightInd/>
              <w:jc w:val="left"/>
              <w:textAlignment w:val="auto"/>
            </w:pPr>
            <w:r w:rsidRPr="005C47CD">
              <w:t xml:space="preserve">Rose D'SA (GB-III) </w:t>
            </w:r>
            <w:r w:rsidRPr="005C47CD">
              <w:rPr>
                <w:sz w:val="18"/>
              </w:rPr>
              <w:t xml:space="preserve">(Rule 62 </w:t>
            </w:r>
            <w:proofErr w:type="spellStart"/>
            <w:r w:rsidRPr="005C47CD">
              <w:rPr>
                <w:sz w:val="18"/>
              </w:rPr>
              <w:t>Benedicte</w:t>
            </w:r>
            <w:proofErr w:type="spellEnd"/>
            <w:r w:rsidRPr="005C47CD">
              <w:rPr>
                <w:sz w:val="18"/>
              </w:rPr>
              <w:t xml:space="preserve"> FEDERSPIEL)</w:t>
            </w:r>
          </w:p>
          <w:p w14:paraId="7028BC8B" w14:textId="77777777" w:rsidR="00684983" w:rsidRPr="005C47CD" w:rsidRDefault="00684983">
            <w:pPr>
              <w:overflowPunct/>
              <w:adjustRightInd/>
              <w:jc w:val="left"/>
              <w:textAlignment w:val="auto"/>
            </w:pPr>
            <w:r w:rsidRPr="005C47CD">
              <w:t>Raymond HENCKS (LU-II)</w:t>
            </w:r>
          </w:p>
          <w:p w14:paraId="65D61EF9" w14:textId="77777777" w:rsidR="00684983" w:rsidRPr="005C47CD" w:rsidRDefault="00684983">
            <w:pPr>
              <w:overflowPunct/>
              <w:adjustRightInd/>
              <w:jc w:val="left"/>
              <w:textAlignment w:val="auto"/>
            </w:pPr>
            <w:r w:rsidRPr="005C47CD">
              <w:t>Thomas KATTNIG (AT-II)</w:t>
            </w:r>
          </w:p>
          <w:p w14:paraId="53EBDDEE" w14:textId="626F27AC" w:rsidR="0011656A" w:rsidRPr="005C47CD" w:rsidRDefault="00684983">
            <w:pPr>
              <w:overflowPunct/>
              <w:adjustRightInd/>
              <w:jc w:val="left"/>
              <w:textAlignment w:val="auto"/>
              <w:rPr>
                <w:szCs w:val="22"/>
              </w:rPr>
            </w:pPr>
            <w:r w:rsidRPr="005C47CD">
              <w:t>Jan SIMONS (NL-I)</w:t>
            </w:r>
          </w:p>
        </w:tc>
      </w:tr>
      <w:tr w:rsidR="00033913" w:rsidRPr="005C47CD" w14:paraId="3FE558EF" w14:textId="77777777" w:rsidTr="00CD4855">
        <w:tc>
          <w:tcPr>
            <w:tcW w:w="3085" w:type="dxa"/>
          </w:tcPr>
          <w:p w14:paraId="2693BE3A" w14:textId="77777777" w:rsidR="00033913" w:rsidRPr="005C47CD" w:rsidRDefault="00033913">
            <w:pPr>
              <w:overflowPunct/>
              <w:adjustRightInd/>
              <w:textAlignment w:val="auto"/>
              <w:rPr>
                <w:szCs w:val="22"/>
              </w:rPr>
            </w:pPr>
          </w:p>
        </w:tc>
        <w:tc>
          <w:tcPr>
            <w:tcW w:w="6204" w:type="dxa"/>
          </w:tcPr>
          <w:p w14:paraId="0CF57710" w14:textId="77777777" w:rsidR="00033913" w:rsidRPr="005C47CD" w:rsidRDefault="00033913">
            <w:pPr>
              <w:overflowPunct/>
              <w:adjustRightInd/>
              <w:jc w:val="left"/>
              <w:textAlignment w:val="auto"/>
              <w:rPr>
                <w:szCs w:val="22"/>
              </w:rPr>
            </w:pPr>
          </w:p>
        </w:tc>
      </w:tr>
      <w:tr w:rsidR="0011656A" w:rsidRPr="005C47CD" w14:paraId="6212ED8A" w14:textId="77777777" w:rsidTr="00CD4855">
        <w:tc>
          <w:tcPr>
            <w:tcW w:w="3085" w:type="dxa"/>
          </w:tcPr>
          <w:p w14:paraId="183C9990" w14:textId="5CB956B0" w:rsidR="0011656A" w:rsidRPr="005C47CD" w:rsidRDefault="0090053A">
            <w:pPr>
              <w:overflowPunct/>
              <w:adjustRightInd/>
              <w:textAlignment w:val="auto"/>
              <w:rPr>
                <w:szCs w:val="22"/>
              </w:rPr>
            </w:pPr>
            <w:r w:rsidRPr="005C47CD">
              <w:t>Expert</w:t>
            </w:r>
            <w:r w:rsidR="00777C40" w:rsidRPr="005C47CD">
              <w:t>s</w:t>
            </w:r>
          </w:p>
        </w:tc>
        <w:tc>
          <w:tcPr>
            <w:tcW w:w="6204" w:type="dxa"/>
          </w:tcPr>
          <w:p w14:paraId="38FE298F" w14:textId="26B7381E" w:rsidR="0090053A" w:rsidRPr="005C47CD" w:rsidRDefault="00777C40">
            <w:pPr>
              <w:overflowPunct/>
              <w:adjustRightInd/>
              <w:jc w:val="left"/>
              <w:textAlignment w:val="auto"/>
            </w:pPr>
            <w:r w:rsidRPr="005C47CD">
              <w:t>Juan Pedro MARIN ARRESE (for the rapporteur)</w:t>
            </w:r>
          </w:p>
          <w:p w14:paraId="2FAA6A2B" w14:textId="5DF09B88" w:rsidR="00777C40" w:rsidRPr="005C47CD" w:rsidRDefault="00777C40">
            <w:pPr>
              <w:overflowPunct/>
              <w:adjustRightInd/>
              <w:jc w:val="left"/>
              <w:textAlignment w:val="auto"/>
            </w:pPr>
            <w:r w:rsidRPr="005C47CD">
              <w:t>Johannes Sebastian IMMINGER (Group I)</w:t>
            </w:r>
          </w:p>
          <w:p w14:paraId="79197E65" w14:textId="728B98EE" w:rsidR="00777C40" w:rsidRPr="005C47CD" w:rsidRDefault="00777C40">
            <w:pPr>
              <w:overflowPunct/>
              <w:adjustRightInd/>
              <w:jc w:val="left"/>
              <w:textAlignment w:val="auto"/>
              <w:rPr>
                <w:szCs w:val="22"/>
              </w:rPr>
            </w:pPr>
            <w:r w:rsidRPr="005C47CD">
              <w:t>Pierre BAUBY (Group II)</w:t>
            </w:r>
          </w:p>
        </w:tc>
      </w:tr>
    </w:tbl>
    <w:p w14:paraId="07C0E62C" w14:textId="098D22C0" w:rsidR="0012220C" w:rsidRPr="005C47CD" w:rsidRDefault="0012220C">
      <w:pPr>
        <w:overflowPunct/>
        <w:adjustRightInd/>
        <w:textAlignment w:val="auto"/>
      </w:pPr>
    </w:p>
    <w:tbl>
      <w:tblPr>
        <w:tblW w:w="0" w:type="auto"/>
        <w:tblLook w:val="04A0" w:firstRow="1" w:lastRow="0" w:firstColumn="1" w:lastColumn="0" w:noHBand="0" w:noVBand="1"/>
      </w:tblPr>
      <w:tblGrid>
        <w:gridCol w:w="3056"/>
        <w:gridCol w:w="6017"/>
      </w:tblGrid>
      <w:tr w:rsidR="00684983" w:rsidRPr="005C47CD" w14:paraId="71FF8688" w14:textId="77777777" w:rsidTr="00CD4855">
        <w:tc>
          <w:tcPr>
            <w:tcW w:w="3085" w:type="dxa"/>
          </w:tcPr>
          <w:p w14:paraId="0B2FA2EC" w14:textId="6621AE69" w:rsidR="00684983" w:rsidRPr="005C47CD" w:rsidRDefault="00684983">
            <w:pPr>
              <w:overflowPunct/>
              <w:adjustRightInd/>
              <w:jc w:val="left"/>
              <w:textAlignment w:val="auto"/>
              <w:rPr>
                <w:szCs w:val="22"/>
              </w:rPr>
            </w:pPr>
            <w:r w:rsidRPr="005C47CD">
              <w:t>Plenary Assembly decision</w:t>
            </w:r>
          </w:p>
        </w:tc>
        <w:tc>
          <w:tcPr>
            <w:tcW w:w="6204" w:type="dxa"/>
          </w:tcPr>
          <w:p w14:paraId="3D89FEC4" w14:textId="6B5C4F6D" w:rsidR="00684983" w:rsidRPr="005C47CD" w:rsidRDefault="00684983">
            <w:pPr>
              <w:overflowPunct/>
              <w:adjustRightInd/>
              <w:jc w:val="left"/>
              <w:textAlignment w:val="auto"/>
              <w:rPr>
                <w:szCs w:val="22"/>
              </w:rPr>
            </w:pPr>
            <w:r w:rsidRPr="005C47CD">
              <w:t>22/09/2016</w:t>
            </w:r>
          </w:p>
        </w:tc>
      </w:tr>
      <w:tr w:rsidR="00684983" w:rsidRPr="005C47CD" w14:paraId="49816444" w14:textId="77777777" w:rsidTr="00CD4855">
        <w:trPr>
          <w:trHeight w:val="251"/>
        </w:trPr>
        <w:tc>
          <w:tcPr>
            <w:tcW w:w="3085" w:type="dxa"/>
          </w:tcPr>
          <w:p w14:paraId="31BF4F0A" w14:textId="533F2F10" w:rsidR="00684983" w:rsidRPr="005C47CD" w:rsidRDefault="00684983">
            <w:pPr>
              <w:overflowPunct/>
              <w:adjustRightInd/>
              <w:jc w:val="left"/>
              <w:textAlignment w:val="auto"/>
              <w:rPr>
                <w:szCs w:val="22"/>
              </w:rPr>
            </w:pPr>
            <w:r w:rsidRPr="005C47CD">
              <w:t>Legal basis</w:t>
            </w:r>
          </w:p>
        </w:tc>
        <w:tc>
          <w:tcPr>
            <w:tcW w:w="6204" w:type="dxa"/>
          </w:tcPr>
          <w:p w14:paraId="1347EDFB" w14:textId="44CED40F" w:rsidR="00684983" w:rsidRPr="005C47CD" w:rsidRDefault="00684983">
            <w:pPr>
              <w:overflowPunct/>
              <w:adjustRightInd/>
              <w:jc w:val="left"/>
              <w:textAlignment w:val="auto"/>
              <w:rPr>
                <w:szCs w:val="22"/>
              </w:rPr>
            </w:pPr>
            <w:r w:rsidRPr="005C47CD">
              <w:t>Rule 29(2) of the Rules of Procedure</w:t>
            </w:r>
          </w:p>
        </w:tc>
      </w:tr>
      <w:tr w:rsidR="00684983" w:rsidRPr="005C47CD" w14:paraId="6AB91678" w14:textId="77777777" w:rsidTr="00CD4855">
        <w:trPr>
          <w:trHeight w:val="250"/>
        </w:trPr>
        <w:tc>
          <w:tcPr>
            <w:tcW w:w="3085" w:type="dxa"/>
          </w:tcPr>
          <w:p w14:paraId="5721A579" w14:textId="77777777" w:rsidR="00684983" w:rsidRPr="005C47CD" w:rsidRDefault="00684983">
            <w:pPr>
              <w:overflowPunct/>
              <w:adjustRightInd/>
              <w:jc w:val="left"/>
              <w:textAlignment w:val="auto"/>
              <w:rPr>
                <w:szCs w:val="22"/>
              </w:rPr>
            </w:pPr>
          </w:p>
        </w:tc>
        <w:tc>
          <w:tcPr>
            <w:tcW w:w="6204" w:type="dxa"/>
          </w:tcPr>
          <w:p w14:paraId="40D5F231" w14:textId="4DAA11F9" w:rsidR="00684983" w:rsidRPr="005C47CD" w:rsidRDefault="00684983">
            <w:pPr>
              <w:overflowPunct/>
              <w:adjustRightInd/>
              <w:jc w:val="left"/>
              <w:textAlignment w:val="auto"/>
              <w:rPr>
                <w:szCs w:val="22"/>
              </w:rPr>
            </w:pPr>
            <w:r w:rsidRPr="005C47CD">
              <w:t>Own-initiative opinion</w:t>
            </w:r>
          </w:p>
        </w:tc>
      </w:tr>
      <w:tr w:rsidR="00DF5B64" w:rsidRPr="005C47CD" w14:paraId="2DC7120E" w14:textId="77777777" w:rsidTr="00CD4855">
        <w:tc>
          <w:tcPr>
            <w:tcW w:w="3085" w:type="dxa"/>
          </w:tcPr>
          <w:p w14:paraId="5B910CF0" w14:textId="78384DF2" w:rsidR="00DF5B64" w:rsidRPr="005C47CD" w:rsidRDefault="00AD4B4F">
            <w:pPr>
              <w:overflowPunct/>
              <w:adjustRightInd/>
              <w:textAlignment w:val="auto"/>
              <w:rPr>
                <w:szCs w:val="22"/>
              </w:rPr>
            </w:pPr>
            <w:r w:rsidRPr="005C47CD">
              <w:t>Section responsible</w:t>
            </w:r>
          </w:p>
        </w:tc>
        <w:tc>
          <w:tcPr>
            <w:tcW w:w="6204" w:type="dxa"/>
          </w:tcPr>
          <w:p w14:paraId="66AA4933" w14:textId="54AA97DA" w:rsidR="00DF5B64" w:rsidRPr="005C47CD" w:rsidRDefault="0066778A">
            <w:pPr>
              <w:overflowPunct/>
              <w:adjustRightInd/>
              <w:jc w:val="left"/>
              <w:textAlignment w:val="auto"/>
              <w:rPr>
                <w:szCs w:val="22"/>
              </w:rPr>
            </w:pPr>
            <w:r w:rsidRPr="005C47CD">
              <w:t>Transport, Energy, Infrastructure and the Information Society</w:t>
            </w:r>
          </w:p>
        </w:tc>
      </w:tr>
      <w:tr w:rsidR="00A156E6" w:rsidRPr="005C47CD" w14:paraId="38F784BE" w14:textId="77777777" w:rsidTr="00CD4855">
        <w:tc>
          <w:tcPr>
            <w:tcW w:w="3085" w:type="dxa"/>
          </w:tcPr>
          <w:p w14:paraId="2D5A61FD" w14:textId="77777777" w:rsidR="00A156E6" w:rsidRPr="005C47CD" w:rsidRDefault="00A156E6">
            <w:pPr>
              <w:overflowPunct/>
              <w:adjustRightInd/>
              <w:textAlignment w:val="auto"/>
              <w:rPr>
                <w:szCs w:val="22"/>
              </w:rPr>
            </w:pPr>
            <w:r w:rsidRPr="005C47CD">
              <w:t>Adopted in section</w:t>
            </w:r>
          </w:p>
        </w:tc>
        <w:tc>
          <w:tcPr>
            <w:tcW w:w="6204" w:type="dxa"/>
          </w:tcPr>
          <w:p w14:paraId="7F6DF907" w14:textId="38F3F13A" w:rsidR="00A156E6" w:rsidRPr="005C47CD" w:rsidRDefault="0066778A">
            <w:pPr>
              <w:overflowPunct/>
              <w:adjustRightInd/>
              <w:jc w:val="left"/>
              <w:textAlignment w:val="auto"/>
              <w:rPr>
                <w:szCs w:val="22"/>
              </w:rPr>
            </w:pPr>
            <w:r w:rsidRPr="005C47CD">
              <w:t>…/…/…</w:t>
            </w:r>
          </w:p>
        </w:tc>
      </w:tr>
      <w:tr w:rsidR="00A156E6" w:rsidRPr="005C47CD" w14:paraId="26FFEE55" w14:textId="77777777" w:rsidTr="00CD4855">
        <w:tc>
          <w:tcPr>
            <w:tcW w:w="3085" w:type="dxa"/>
          </w:tcPr>
          <w:p w14:paraId="0AAC48F7" w14:textId="77777777" w:rsidR="00A156E6" w:rsidRPr="005C47CD" w:rsidRDefault="00A156E6">
            <w:pPr>
              <w:overflowPunct/>
              <w:adjustRightInd/>
              <w:textAlignment w:val="auto"/>
              <w:rPr>
                <w:szCs w:val="22"/>
              </w:rPr>
            </w:pPr>
            <w:r w:rsidRPr="005C47CD">
              <w:t>Adopted at plenary</w:t>
            </w:r>
          </w:p>
        </w:tc>
        <w:tc>
          <w:tcPr>
            <w:tcW w:w="6204" w:type="dxa"/>
          </w:tcPr>
          <w:p w14:paraId="0E77DA57" w14:textId="4F9ABCA5" w:rsidR="00A156E6" w:rsidRPr="005C47CD" w:rsidRDefault="0066778A">
            <w:pPr>
              <w:overflowPunct/>
              <w:adjustRightInd/>
              <w:jc w:val="left"/>
              <w:textAlignment w:val="auto"/>
              <w:rPr>
                <w:szCs w:val="22"/>
              </w:rPr>
            </w:pPr>
            <w:r w:rsidRPr="005C47CD">
              <w:t>…/…/…</w:t>
            </w:r>
          </w:p>
        </w:tc>
      </w:tr>
      <w:tr w:rsidR="00BA1290" w:rsidRPr="005C47CD" w14:paraId="6977DA68" w14:textId="77777777" w:rsidTr="00CB10B0">
        <w:tc>
          <w:tcPr>
            <w:tcW w:w="3085" w:type="dxa"/>
          </w:tcPr>
          <w:p w14:paraId="33BE2CA6" w14:textId="063BFB88" w:rsidR="00BA1290" w:rsidRPr="005C47CD" w:rsidRDefault="00BA1290">
            <w:pPr>
              <w:overflowPunct/>
              <w:adjustRightInd/>
              <w:textAlignment w:val="auto"/>
              <w:rPr>
                <w:szCs w:val="22"/>
              </w:rPr>
            </w:pPr>
            <w:r w:rsidRPr="005C47CD">
              <w:t>Plenary session No</w:t>
            </w:r>
          </w:p>
        </w:tc>
        <w:tc>
          <w:tcPr>
            <w:tcW w:w="6204" w:type="dxa"/>
          </w:tcPr>
          <w:p w14:paraId="21C3A403" w14:textId="0B0AD7AE" w:rsidR="00BA1290" w:rsidRPr="005C47CD" w:rsidRDefault="0066778A">
            <w:pPr>
              <w:overflowPunct/>
              <w:adjustRightInd/>
              <w:jc w:val="left"/>
              <w:textAlignment w:val="auto"/>
              <w:rPr>
                <w:szCs w:val="22"/>
              </w:rPr>
            </w:pPr>
            <w:r w:rsidRPr="005C47CD">
              <w:t>…</w:t>
            </w:r>
          </w:p>
        </w:tc>
      </w:tr>
      <w:tr w:rsidR="00A156E6" w:rsidRPr="005C47CD" w14:paraId="102ECFA0" w14:textId="77777777" w:rsidTr="00C25912">
        <w:tc>
          <w:tcPr>
            <w:tcW w:w="3085" w:type="dxa"/>
          </w:tcPr>
          <w:p w14:paraId="04CA2D32" w14:textId="77777777" w:rsidR="00EE4E3B" w:rsidRPr="005C47CD" w:rsidRDefault="00EE4E3B">
            <w:pPr>
              <w:overflowPunct/>
              <w:adjustRightInd/>
              <w:textAlignment w:val="auto"/>
            </w:pPr>
            <w:r w:rsidRPr="005C47CD">
              <w:t>Outcome of vote</w:t>
            </w:r>
          </w:p>
          <w:p w14:paraId="134F8828" w14:textId="5B348E76" w:rsidR="00D423D4" w:rsidRPr="005C47CD" w:rsidRDefault="00EE4E3B">
            <w:pPr>
              <w:overflowPunct/>
              <w:adjustRightInd/>
              <w:textAlignment w:val="auto"/>
              <w:rPr>
                <w:szCs w:val="22"/>
              </w:rPr>
            </w:pPr>
            <w:r w:rsidRPr="005C47CD">
              <w:t>(for/against/abstentions)</w:t>
            </w:r>
          </w:p>
        </w:tc>
        <w:tc>
          <w:tcPr>
            <w:tcW w:w="6204" w:type="dxa"/>
            <w:vAlign w:val="bottom"/>
          </w:tcPr>
          <w:p w14:paraId="6D271A74" w14:textId="7871D3B8" w:rsidR="00A156E6" w:rsidRPr="005C47CD" w:rsidRDefault="0066778A">
            <w:pPr>
              <w:overflowPunct/>
              <w:adjustRightInd/>
              <w:jc w:val="left"/>
              <w:textAlignment w:val="auto"/>
              <w:rPr>
                <w:szCs w:val="22"/>
              </w:rPr>
            </w:pPr>
            <w:r w:rsidRPr="005C47CD">
              <w:t>…/…/…</w:t>
            </w:r>
          </w:p>
        </w:tc>
      </w:tr>
    </w:tbl>
    <w:p w14:paraId="036A124D" w14:textId="77777777" w:rsidR="0090053A" w:rsidRPr="005C47CD" w:rsidRDefault="0090053A">
      <w:pPr>
        <w:overflowPunct/>
        <w:adjustRightInd/>
        <w:textAlignment w:val="auto"/>
      </w:pPr>
    </w:p>
    <w:p w14:paraId="174CB35F" w14:textId="77777777" w:rsidR="00646AC2" w:rsidRPr="005C47CD" w:rsidRDefault="00646AC2">
      <w:pPr>
        <w:overflowPunct/>
        <w:adjustRightInd/>
        <w:textAlignment w:val="auto"/>
      </w:pPr>
      <w:r w:rsidRPr="005C47CD">
        <w:br w:type="page"/>
      </w:r>
    </w:p>
    <w:p w14:paraId="3D83DA2C" w14:textId="4913BC9E" w:rsidR="000C561A" w:rsidRPr="005C47CD" w:rsidRDefault="005B2C4D">
      <w:pPr>
        <w:pStyle w:val="Heading1"/>
        <w:overflowPunct/>
        <w:adjustRightInd/>
        <w:ind w:left="567" w:hanging="567"/>
        <w:textAlignment w:val="auto"/>
        <w:rPr>
          <w:b/>
        </w:rPr>
      </w:pPr>
      <w:r w:rsidRPr="005C47CD">
        <w:rPr>
          <w:b/>
        </w:rPr>
        <w:lastRenderedPageBreak/>
        <w:t>Conclusions and recommendations</w:t>
      </w:r>
    </w:p>
    <w:p w14:paraId="12053E08" w14:textId="77777777" w:rsidR="000A160E" w:rsidRPr="005C47CD" w:rsidRDefault="000A160E" w:rsidP="000A160E">
      <w:pPr>
        <w:pStyle w:val="ListParagraph"/>
        <w:overflowPunct/>
        <w:adjustRightInd/>
        <w:ind w:left="567" w:hanging="567"/>
        <w:textAlignment w:val="auto"/>
      </w:pPr>
    </w:p>
    <w:p w14:paraId="7287B4F4" w14:textId="21CE5D69" w:rsidR="00AC08A3" w:rsidRPr="005C47CD" w:rsidRDefault="00AC08A3" w:rsidP="00AC08A3">
      <w:pPr>
        <w:pStyle w:val="Heading2"/>
        <w:ind w:left="567" w:hanging="567"/>
      </w:pPr>
      <w:r w:rsidRPr="005C47CD">
        <w:t xml:space="preserve">The </w:t>
      </w:r>
      <w:r w:rsidR="00222F31" w:rsidRPr="005C47CD">
        <w:t>European Economic and Social Committee (</w:t>
      </w:r>
      <w:r w:rsidRPr="005C47CD">
        <w:t>EESC</w:t>
      </w:r>
      <w:r w:rsidR="00222F31" w:rsidRPr="005C47CD">
        <w:t>)</w:t>
      </w:r>
      <w:r w:rsidRPr="005C47CD">
        <w:t xml:space="preserve"> appreciates the implementation of the </w:t>
      </w:r>
      <w:r w:rsidR="00222F31" w:rsidRPr="005C47CD">
        <w:t>services of general economic interest (</w:t>
      </w:r>
      <w:r w:rsidRPr="005C47CD">
        <w:t>SGEI</w:t>
      </w:r>
      <w:r w:rsidR="00222F31" w:rsidRPr="005C47CD">
        <w:t>s)</w:t>
      </w:r>
      <w:r w:rsidRPr="005C47CD">
        <w:t xml:space="preserve"> package, which </w:t>
      </w:r>
      <w:r w:rsidR="0094189E" w:rsidRPr="005C47CD">
        <w:t>brings</w:t>
      </w:r>
      <w:r w:rsidRPr="005C47CD">
        <w:t xml:space="preserve"> legal certainty for public service providers. The package strikes the right balance between the need to foster and support SGEI and the objective of preventing potential distortions of competition. However, stakeholders at regional and local level, in particular publicly owned SGEI providers</w:t>
      </w:r>
      <w:r w:rsidRPr="005C47CD">
        <w:rPr>
          <w:rStyle w:val="FootnoteReference"/>
        </w:rPr>
        <w:footnoteReference w:id="1"/>
      </w:r>
      <w:r w:rsidRPr="005C47CD">
        <w:t xml:space="preserve">, </w:t>
      </w:r>
      <w:r w:rsidR="00121DFE" w:rsidRPr="005C47CD">
        <w:t xml:space="preserve">are </w:t>
      </w:r>
      <w:r w:rsidRPr="005C47CD">
        <w:t>voic</w:t>
      </w:r>
      <w:r w:rsidR="00121DFE" w:rsidRPr="005C47CD">
        <w:t>ing</w:t>
      </w:r>
      <w:r w:rsidRPr="005C47CD">
        <w:t xml:space="preserve"> their concerns </w:t>
      </w:r>
      <w:r w:rsidR="00F75560" w:rsidRPr="005C47CD">
        <w:t>about</w:t>
      </w:r>
      <w:r w:rsidRPr="005C47CD">
        <w:t xml:space="preserve"> key issues in the current rules that create </w:t>
      </w:r>
      <w:r w:rsidR="00D64F50" w:rsidRPr="005C47CD">
        <w:t>unnecessary</w:t>
      </w:r>
      <w:r w:rsidRPr="005C47CD">
        <w:t xml:space="preserve"> obstacles or </w:t>
      </w:r>
      <w:r w:rsidR="00446EC6" w:rsidRPr="005C47CD">
        <w:t xml:space="preserve">a </w:t>
      </w:r>
      <w:r w:rsidRPr="005C47CD">
        <w:t xml:space="preserve">lack of legal certainty and therefore the EESC calls upon the Commission to take the measures </w:t>
      </w:r>
      <w:r w:rsidR="00537D49" w:rsidRPr="005C47CD">
        <w:t xml:space="preserve">needed </w:t>
      </w:r>
      <w:r w:rsidRPr="005C47CD">
        <w:t xml:space="preserve">to improve the current rules and their practical application, to provide guidelines, </w:t>
      </w:r>
      <w:r w:rsidR="008C2868" w:rsidRPr="005C47CD">
        <w:t xml:space="preserve">to create a </w:t>
      </w:r>
      <w:r w:rsidRPr="005C47CD">
        <w:t>best practices compendium and whe</w:t>
      </w:r>
      <w:r w:rsidR="002D0EC4" w:rsidRPr="005C47CD">
        <w:t>re</w:t>
      </w:r>
      <w:r w:rsidRPr="005C47CD">
        <w:t xml:space="preserve"> necessary – to examine the need </w:t>
      </w:r>
      <w:r w:rsidR="00D66ABF" w:rsidRPr="005C47CD">
        <w:t>to</w:t>
      </w:r>
      <w:r w:rsidRPr="005C47CD">
        <w:t xml:space="preserve"> updat</w:t>
      </w:r>
      <w:r w:rsidR="00D66ABF" w:rsidRPr="005C47CD">
        <w:t>e</w:t>
      </w:r>
      <w:r w:rsidRPr="005C47CD">
        <w:t xml:space="preserve"> and amend the package. </w:t>
      </w:r>
    </w:p>
    <w:p w14:paraId="56BAA721" w14:textId="77777777" w:rsidR="00AC08A3" w:rsidRPr="005C47CD" w:rsidRDefault="00AC08A3" w:rsidP="000A160E">
      <w:pPr>
        <w:pStyle w:val="ListParagraph"/>
        <w:overflowPunct/>
        <w:adjustRightInd/>
        <w:ind w:left="567" w:hanging="567"/>
        <w:textAlignment w:val="auto"/>
      </w:pPr>
    </w:p>
    <w:p w14:paraId="6E297260" w14:textId="7A2C492F" w:rsidR="000A160E" w:rsidRPr="005C47CD" w:rsidRDefault="000A160E" w:rsidP="000A160E">
      <w:pPr>
        <w:pStyle w:val="Heading2"/>
        <w:ind w:left="567" w:hanging="567"/>
      </w:pPr>
      <w:r w:rsidRPr="005C47CD">
        <w:t>Reviewing the first two waves of Member States’ reports on the implementation of the SGEI package, the EESC notes with concern that they do not tackle the essential issue of compatibility requirements, a matter dealt with in depth by the Framework.</w:t>
      </w:r>
    </w:p>
    <w:p w14:paraId="4715B2ED" w14:textId="77777777" w:rsidR="000A160E" w:rsidRPr="005C47CD" w:rsidRDefault="000A160E" w:rsidP="000A160E">
      <w:pPr>
        <w:pStyle w:val="ListParagraph"/>
        <w:ind w:left="567" w:hanging="567"/>
      </w:pPr>
    </w:p>
    <w:p w14:paraId="267E1713" w14:textId="63034273" w:rsidR="000A160E" w:rsidRPr="005C47CD" w:rsidRDefault="000A160E" w:rsidP="000A160E">
      <w:pPr>
        <w:pStyle w:val="Heading2"/>
        <w:ind w:left="567" w:hanging="567"/>
      </w:pPr>
      <w:r w:rsidRPr="005C47CD">
        <w:t xml:space="preserve">The EESC notes that in most cases, </w:t>
      </w:r>
      <w:r w:rsidR="00DF77EE" w:rsidRPr="005C47CD">
        <w:t xml:space="preserve">the </w:t>
      </w:r>
      <w:r w:rsidRPr="005C47CD">
        <w:t xml:space="preserve">lack of certainty or </w:t>
      </w:r>
      <w:r w:rsidR="00B22F13" w:rsidRPr="005C47CD">
        <w:t xml:space="preserve">the </w:t>
      </w:r>
      <w:r w:rsidRPr="005C47CD">
        <w:t xml:space="preserve">substantial costs </w:t>
      </w:r>
      <w:r w:rsidR="00B22F13" w:rsidRPr="005C47CD">
        <w:t xml:space="preserve">involved </w:t>
      </w:r>
      <w:r w:rsidRPr="005C47CD">
        <w:t xml:space="preserve">in fulfilling the requirements raise barriers that unduly </w:t>
      </w:r>
      <w:r w:rsidR="00020C5B" w:rsidRPr="005C47CD">
        <w:t>prevent</w:t>
      </w:r>
      <w:r w:rsidRPr="005C47CD">
        <w:t xml:space="preserve"> authorities from fully implementing SGEI policy. Such hindrances acutely affect regional and local authorities</w:t>
      </w:r>
      <w:r w:rsidR="008C4E20" w:rsidRPr="005C47CD">
        <w:t>,</w:t>
      </w:r>
      <w:r w:rsidRPr="005C47CD">
        <w:t xml:space="preserve"> as the dialogue between the Member States and the Commission on State aid cases is undertaken by central government, </w:t>
      </w:r>
      <w:r w:rsidR="00930483" w:rsidRPr="005C47CD">
        <w:t>while</w:t>
      </w:r>
      <w:r w:rsidR="008C4E20" w:rsidRPr="005C47CD">
        <w:t xml:space="preserve"> </w:t>
      </w:r>
      <w:r w:rsidRPr="005C47CD">
        <w:t xml:space="preserve">other administrative levels </w:t>
      </w:r>
      <w:r w:rsidR="00930483" w:rsidRPr="005C47CD">
        <w:t>do not enjoy</w:t>
      </w:r>
      <w:r w:rsidRPr="005C47CD">
        <w:t xml:space="preserve"> direct access</w:t>
      </w:r>
      <w:r w:rsidR="004A61F5" w:rsidRPr="005C47CD">
        <w:t xml:space="preserve"> to this process</w:t>
      </w:r>
      <w:r w:rsidRPr="005C47CD">
        <w:t>.</w:t>
      </w:r>
    </w:p>
    <w:p w14:paraId="4E47F9BC" w14:textId="77777777" w:rsidR="000A160E" w:rsidRPr="005C47CD" w:rsidRDefault="000A160E" w:rsidP="000A160E">
      <w:pPr>
        <w:pStyle w:val="ListParagraph"/>
        <w:ind w:left="567" w:hanging="567"/>
      </w:pPr>
    </w:p>
    <w:p w14:paraId="3A44863A" w14:textId="413AD288" w:rsidR="000A160E" w:rsidRPr="005C47CD" w:rsidRDefault="000A160E" w:rsidP="000A160E">
      <w:pPr>
        <w:pStyle w:val="Heading2"/>
        <w:ind w:left="567" w:hanging="567"/>
      </w:pPr>
      <w:r w:rsidRPr="005C47CD">
        <w:t>The fact that only a handful of SGEI at regional or local level are reported</w:t>
      </w:r>
      <w:r w:rsidRPr="005C47CD">
        <w:rPr>
          <w:rStyle w:val="FootnoteReference"/>
        </w:rPr>
        <w:footnoteReference w:id="2"/>
      </w:r>
      <w:r w:rsidRPr="005C47CD">
        <w:t xml:space="preserve"> shows that </w:t>
      </w:r>
      <w:r w:rsidR="0051234C" w:rsidRPr="005C47CD">
        <w:t xml:space="preserve">the </w:t>
      </w:r>
      <w:r w:rsidRPr="005C47CD">
        <w:t xml:space="preserve">lack of direct channels with the Commission hinders proper financing of public services, </w:t>
      </w:r>
      <w:r w:rsidR="00DD267A" w:rsidRPr="005C47CD">
        <w:t>which makes</w:t>
      </w:r>
      <w:r w:rsidRPr="005C47CD">
        <w:t xml:space="preserve"> the </w:t>
      </w:r>
      <w:r w:rsidR="00D53DC9" w:rsidRPr="005C47CD">
        <w:t>appropriate</w:t>
      </w:r>
      <w:r w:rsidRPr="005C47CD">
        <w:t xml:space="preserve"> authorities more reluctant to </w:t>
      </w:r>
      <w:r w:rsidR="00F963A3" w:rsidRPr="005C47CD">
        <w:t>make full use of</w:t>
      </w:r>
      <w:r w:rsidRPr="005C47CD">
        <w:t xml:space="preserve"> the Decision and to clear up doubts </w:t>
      </w:r>
      <w:r w:rsidR="00AE5F70" w:rsidRPr="005C47CD">
        <w:t>regarding</w:t>
      </w:r>
      <w:r w:rsidRPr="005C47CD">
        <w:t xml:space="preserve"> its implementation.</w:t>
      </w:r>
    </w:p>
    <w:p w14:paraId="71DE2C3E" w14:textId="77777777" w:rsidR="000A160E" w:rsidRPr="005C47CD" w:rsidRDefault="000A160E" w:rsidP="000A160E">
      <w:pPr>
        <w:pStyle w:val="ListParagraph"/>
        <w:ind w:left="567" w:hanging="567"/>
      </w:pPr>
    </w:p>
    <w:p w14:paraId="73544A2B" w14:textId="5FE7F201" w:rsidR="000A160E" w:rsidRPr="005C47CD" w:rsidRDefault="000A160E" w:rsidP="000A160E">
      <w:pPr>
        <w:pStyle w:val="Heading2"/>
        <w:ind w:left="567" w:hanging="567"/>
      </w:pPr>
      <w:r w:rsidRPr="005C47CD">
        <w:t xml:space="preserve">The EESC </w:t>
      </w:r>
      <w:r w:rsidR="004E006F" w:rsidRPr="005C47CD">
        <w:t>calls on</w:t>
      </w:r>
      <w:r w:rsidRPr="005C47CD">
        <w:t xml:space="preserve"> the </w:t>
      </w:r>
      <w:r w:rsidR="00222F31" w:rsidRPr="005C47CD">
        <w:t xml:space="preserve">European Commission </w:t>
      </w:r>
      <w:r w:rsidRPr="005C47CD">
        <w:t xml:space="preserve">to examine the possibilities </w:t>
      </w:r>
      <w:r w:rsidR="00426D3F" w:rsidRPr="005C47CD">
        <w:t>of</w:t>
      </w:r>
      <w:r w:rsidRPr="005C47CD">
        <w:t xml:space="preserve"> upgrad</w:t>
      </w:r>
      <w:r w:rsidR="00426D3F" w:rsidRPr="005C47CD">
        <w:t>ing</w:t>
      </w:r>
      <w:r w:rsidRPr="005C47CD">
        <w:t xml:space="preserve"> the Decision and </w:t>
      </w:r>
      <w:r w:rsidR="00EC442E" w:rsidRPr="005C47CD">
        <w:t>of</w:t>
      </w:r>
      <w:r w:rsidRPr="005C47CD">
        <w:t xml:space="preserve"> extend</w:t>
      </w:r>
      <w:r w:rsidR="00EC442E" w:rsidRPr="005C47CD">
        <w:t>ing</w:t>
      </w:r>
      <w:r w:rsidRPr="005C47CD">
        <w:t xml:space="preserve"> its scope, </w:t>
      </w:r>
      <w:r w:rsidR="00D05AE9" w:rsidRPr="005C47CD">
        <w:t>in order</w:t>
      </w:r>
      <w:r w:rsidRPr="005C47CD">
        <w:t xml:space="preserve"> to address the following elements:</w:t>
      </w:r>
    </w:p>
    <w:p w14:paraId="03AE595F" w14:textId="77777777" w:rsidR="000A160E" w:rsidRPr="005C47CD" w:rsidRDefault="000A160E" w:rsidP="000A160E">
      <w:pPr>
        <w:pStyle w:val="ListParagraph"/>
        <w:ind w:left="567" w:hanging="567"/>
      </w:pPr>
    </w:p>
    <w:p w14:paraId="52A74DD4" w14:textId="6188063B" w:rsidR="000A160E" w:rsidRPr="005C47CD" w:rsidRDefault="000A160E" w:rsidP="000A160E">
      <w:pPr>
        <w:pStyle w:val="Heading3"/>
        <w:ind w:left="567" w:hanging="567"/>
      </w:pPr>
      <w:r w:rsidRPr="005C47CD">
        <w:t xml:space="preserve">The EESC suggests that the Commission </w:t>
      </w:r>
      <w:r w:rsidR="00807B26" w:rsidRPr="005C47CD">
        <w:t>remove</w:t>
      </w:r>
      <w:r w:rsidRPr="005C47CD">
        <w:t xml:space="preserve"> the exemption threshold and include all SGEI in the Decision</w:t>
      </w:r>
      <w:r w:rsidR="00750601" w:rsidRPr="005C47CD">
        <w:t>,</w:t>
      </w:r>
      <w:r w:rsidRPr="005C47CD">
        <w:t xml:space="preserve"> regardless of the yearly compensatory amount. Careful study of its current implementation proves that this will reduce the administrative costs and complexities that authorities would otherwise face, in particular at local level, without distorting the competition</w:t>
      </w:r>
      <w:r w:rsidR="009A6A5B" w:rsidRPr="005C47CD">
        <w:t xml:space="preserve"> in any way</w:t>
      </w:r>
      <w:r w:rsidRPr="005C47CD">
        <w:t>.</w:t>
      </w:r>
    </w:p>
    <w:p w14:paraId="7761A052" w14:textId="77777777" w:rsidR="000A160E" w:rsidRPr="005C47CD" w:rsidRDefault="000A160E" w:rsidP="000A160E">
      <w:pPr>
        <w:pStyle w:val="ListParagraph"/>
        <w:overflowPunct/>
        <w:adjustRightInd/>
        <w:ind w:left="567" w:hanging="567"/>
        <w:textAlignment w:val="auto"/>
      </w:pPr>
    </w:p>
    <w:p w14:paraId="77504F9D" w14:textId="6A4C4537" w:rsidR="000A160E" w:rsidRPr="005C47CD" w:rsidRDefault="00D110F8" w:rsidP="000A160E">
      <w:pPr>
        <w:pStyle w:val="Heading3"/>
        <w:ind w:left="567" w:hanging="567"/>
      </w:pPr>
      <w:r w:rsidRPr="005C47CD">
        <w:t>In the light</w:t>
      </w:r>
      <w:r w:rsidR="000A160E" w:rsidRPr="005C47CD">
        <w:t xml:space="preserve"> of the turbulent labo</w:t>
      </w:r>
      <w:r w:rsidRPr="005C47CD">
        <w:t>u</w:t>
      </w:r>
      <w:r w:rsidR="000A160E" w:rsidRPr="005C47CD">
        <w:t xml:space="preserve">r market and </w:t>
      </w:r>
      <w:r w:rsidR="00344975" w:rsidRPr="005C47CD">
        <w:t>of</w:t>
      </w:r>
      <w:r w:rsidR="000A160E" w:rsidRPr="005C47CD">
        <w:t xml:space="preserve"> challenging skills mismatches, the EESC </w:t>
      </w:r>
      <w:r w:rsidR="00C80478" w:rsidRPr="005C47CD">
        <w:t>calls on the Commission</w:t>
      </w:r>
      <w:r w:rsidR="000A160E" w:rsidRPr="005C47CD">
        <w:t xml:space="preserve"> to examine the possibility </w:t>
      </w:r>
      <w:r w:rsidR="00DF4FBD" w:rsidRPr="005C47CD">
        <w:t>of</w:t>
      </w:r>
      <w:r w:rsidR="000A160E" w:rsidRPr="005C47CD">
        <w:t xml:space="preserve"> broaden</w:t>
      </w:r>
      <w:r w:rsidR="00DF4FBD" w:rsidRPr="005C47CD">
        <w:t>ing</w:t>
      </w:r>
      <w:r w:rsidR="000A160E" w:rsidRPr="005C47CD">
        <w:t xml:space="preserve"> the scope of the Decision, in order to </w:t>
      </w:r>
      <w:r w:rsidR="00DF4FBD" w:rsidRPr="005C47CD">
        <w:t>link</w:t>
      </w:r>
      <w:r w:rsidR="000A160E" w:rsidRPr="005C47CD">
        <w:t xml:space="preserve"> eligible services </w:t>
      </w:r>
      <w:r w:rsidR="00DF4FBD" w:rsidRPr="005C47CD">
        <w:t>in order</w:t>
      </w:r>
      <w:r w:rsidR="000A160E" w:rsidRPr="005C47CD">
        <w:t xml:space="preserve"> to enhance people's knowledge and qualifications and thus help them improve their job </w:t>
      </w:r>
      <w:r w:rsidR="00E0701C" w:rsidRPr="005C47CD">
        <w:t>prospects</w:t>
      </w:r>
      <w:r w:rsidR="000A160E" w:rsidRPr="005C47CD">
        <w:t xml:space="preserve">. </w:t>
      </w:r>
    </w:p>
    <w:p w14:paraId="5F0B348B" w14:textId="77777777" w:rsidR="000A160E" w:rsidRPr="005C47CD" w:rsidRDefault="000A160E" w:rsidP="000A160E">
      <w:pPr>
        <w:pStyle w:val="ListParagraph"/>
      </w:pPr>
    </w:p>
    <w:p w14:paraId="4BEB91BC" w14:textId="77777777" w:rsidR="000A160E" w:rsidRPr="005C47CD" w:rsidRDefault="000A160E" w:rsidP="000A160E">
      <w:pPr>
        <w:pStyle w:val="ListParagraph"/>
        <w:overflowPunct/>
        <w:adjustRightInd/>
        <w:textAlignment w:val="auto"/>
      </w:pPr>
    </w:p>
    <w:p w14:paraId="2742BFF3" w14:textId="3F89B9CF" w:rsidR="000A160E" w:rsidRPr="005C47CD" w:rsidRDefault="000A160E" w:rsidP="000A160E">
      <w:pPr>
        <w:pStyle w:val="Heading3"/>
        <w:ind w:left="567" w:hanging="567"/>
      </w:pPr>
      <w:bookmarkStart w:id="0" w:name="_Hlk479692878"/>
      <w:r w:rsidRPr="005C47CD">
        <w:t xml:space="preserve">The EESC </w:t>
      </w:r>
      <w:r w:rsidR="00D67BC3" w:rsidRPr="005C47CD">
        <w:t>calls on the Commission</w:t>
      </w:r>
      <w:r w:rsidRPr="005C47CD">
        <w:t xml:space="preserve"> to examine carefully and </w:t>
      </w:r>
      <w:r w:rsidR="00FB0388" w:rsidRPr="005C47CD">
        <w:t>perhaps</w:t>
      </w:r>
      <w:r w:rsidRPr="005C47CD">
        <w:t xml:space="preserve"> to amend the particular texts of the Decision, mainly related to: the </w:t>
      </w:r>
      <w:r w:rsidR="00415996" w:rsidRPr="005C47CD">
        <w:t>time-limit for</w:t>
      </w:r>
      <w:r w:rsidRPr="005C47CD">
        <w:t xml:space="preserve"> keeping records of all the information necessary to determine the compatibility of the compensation granted; clarifying that entrustments’ time limit should not have any material effect on their renewal or extension or on the eligibility of service providers running the remit; setting a readily available method for calculating reasonable profit; </w:t>
      </w:r>
      <w:bookmarkEnd w:id="0"/>
      <w:r w:rsidRPr="005C47CD">
        <w:t>providing further clarification when addressing the requirement of sharing productive efficiency gains between the undertaking; ensuring a more flexible approach to minor overruns not exceeding 10% of the yearly average compensation exempting them from updating the parameters.</w:t>
      </w:r>
    </w:p>
    <w:p w14:paraId="46CAA146" w14:textId="77777777" w:rsidR="000A160E" w:rsidRPr="005C47CD" w:rsidRDefault="000A160E" w:rsidP="000A160E">
      <w:pPr>
        <w:pStyle w:val="ListParagraph"/>
        <w:overflowPunct/>
        <w:adjustRightInd/>
        <w:ind w:left="567" w:hanging="567"/>
        <w:textAlignment w:val="auto"/>
      </w:pPr>
    </w:p>
    <w:p w14:paraId="6699C5A8" w14:textId="77777777" w:rsidR="000A160E" w:rsidRPr="005C47CD" w:rsidRDefault="000A160E" w:rsidP="000A160E">
      <w:pPr>
        <w:pStyle w:val="Heading2"/>
        <w:ind w:left="567" w:hanging="567"/>
      </w:pPr>
      <w:r w:rsidRPr="005C47CD">
        <w:t xml:space="preserve">The EESC finds that further clarification is needed of the conditions of compatibility under the Framework, related to: </w:t>
      </w:r>
    </w:p>
    <w:p w14:paraId="3440A5F5" w14:textId="77777777" w:rsidR="000A160E" w:rsidRPr="005C47CD" w:rsidRDefault="000A160E" w:rsidP="000A160E">
      <w:pPr>
        <w:pStyle w:val="Heading2"/>
        <w:numPr>
          <w:ilvl w:val="0"/>
          <w:numId w:val="0"/>
        </w:numPr>
        <w:ind w:left="720"/>
      </w:pPr>
    </w:p>
    <w:p w14:paraId="2F2B7F5F" w14:textId="7A2D2C27" w:rsidR="000A160E" w:rsidRPr="005C47CD" w:rsidRDefault="000A160E" w:rsidP="00F13E3B">
      <w:pPr>
        <w:pStyle w:val="Heading2"/>
        <w:numPr>
          <w:ilvl w:val="0"/>
          <w:numId w:val="11"/>
        </w:numPr>
        <w:tabs>
          <w:tab w:val="clear" w:pos="0"/>
        </w:tabs>
        <w:ind w:left="851" w:hanging="284"/>
      </w:pPr>
      <w:r w:rsidRPr="005C47CD">
        <w:t xml:space="preserve">further specifying the alternative ways of meeting the requirement for ensuring compatibility in accordance with Article 106(2) </w:t>
      </w:r>
      <w:r w:rsidR="00222F31" w:rsidRPr="005C47CD">
        <w:t>of the Treaty on the Functioning of the European Union (</w:t>
      </w:r>
      <w:r w:rsidRPr="005C47CD">
        <w:t>TFEU</w:t>
      </w:r>
      <w:r w:rsidR="00222F31" w:rsidRPr="005C47CD">
        <w:t>)</w:t>
      </w:r>
      <w:r w:rsidRPr="005C47CD">
        <w:t xml:space="preserve"> that are already widely used in its practice; </w:t>
      </w:r>
    </w:p>
    <w:p w14:paraId="32C23169" w14:textId="77777777" w:rsidR="000A160E" w:rsidRPr="005C47CD" w:rsidRDefault="000A160E" w:rsidP="00F13E3B">
      <w:pPr>
        <w:pStyle w:val="Heading2"/>
        <w:numPr>
          <w:ilvl w:val="0"/>
          <w:numId w:val="11"/>
        </w:numPr>
        <w:tabs>
          <w:tab w:val="clear" w:pos="0"/>
        </w:tabs>
        <w:ind w:left="851" w:hanging="284"/>
      </w:pPr>
      <w:r w:rsidRPr="005C47CD">
        <w:t xml:space="preserve">avoiding mandatory requirements that might encroach on national law-making procedures, creating unwarranted problems; </w:t>
      </w:r>
    </w:p>
    <w:p w14:paraId="5EEE5113" w14:textId="77777777" w:rsidR="000A160E" w:rsidRPr="005C47CD" w:rsidRDefault="000A160E" w:rsidP="00F13E3B">
      <w:pPr>
        <w:pStyle w:val="Heading2"/>
        <w:numPr>
          <w:ilvl w:val="0"/>
          <w:numId w:val="11"/>
        </w:numPr>
        <w:tabs>
          <w:tab w:val="clear" w:pos="0"/>
        </w:tabs>
        <w:ind w:left="851" w:hanging="284"/>
      </w:pPr>
      <w:r w:rsidRPr="005C47CD">
        <w:t xml:space="preserve">taking due account of the new legal requirements as regards procurement and concessions; </w:t>
      </w:r>
    </w:p>
    <w:p w14:paraId="77A92E20" w14:textId="0E019200" w:rsidR="000A160E" w:rsidRPr="005C47CD" w:rsidRDefault="000A160E" w:rsidP="00F13E3B">
      <w:pPr>
        <w:pStyle w:val="Heading2"/>
        <w:numPr>
          <w:ilvl w:val="0"/>
          <w:numId w:val="11"/>
        </w:numPr>
        <w:tabs>
          <w:tab w:val="clear" w:pos="0"/>
        </w:tabs>
        <w:ind w:left="851" w:hanging="284"/>
      </w:pPr>
      <w:r w:rsidRPr="005C47CD">
        <w:t xml:space="preserve">coupling ex-ante methodology with full use of </w:t>
      </w:r>
      <w:r w:rsidR="00481319" w:rsidRPr="005C47CD">
        <w:t xml:space="preserve">the </w:t>
      </w:r>
      <w:r w:rsidRPr="005C47CD">
        <w:t xml:space="preserve">ex-post net cost calculation, unless the authority prefers to set the compensation as a lump sum at the time of entrustment; </w:t>
      </w:r>
    </w:p>
    <w:p w14:paraId="305B74DE" w14:textId="16174690" w:rsidR="000A160E" w:rsidRPr="005C47CD" w:rsidRDefault="000A160E" w:rsidP="00F13E3B">
      <w:pPr>
        <w:pStyle w:val="Heading2"/>
        <w:numPr>
          <w:ilvl w:val="0"/>
          <w:numId w:val="11"/>
        </w:numPr>
        <w:tabs>
          <w:tab w:val="clear" w:pos="0"/>
        </w:tabs>
        <w:ind w:left="851" w:hanging="284"/>
      </w:pPr>
      <w:r w:rsidRPr="005C47CD">
        <w:t xml:space="preserve">endorsing both approaches for calculating the compensation -  Net </w:t>
      </w:r>
      <w:r w:rsidR="00F80FAC" w:rsidRPr="005C47CD">
        <w:t>A</w:t>
      </w:r>
      <w:r w:rsidRPr="005C47CD">
        <w:t xml:space="preserve">ggregated Costs and Net Avoided Cost and provide further guidance on them in the Framework as it currently contains hardly any indication of how to establish the relevant counterfactuals; </w:t>
      </w:r>
    </w:p>
    <w:p w14:paraId="3F9F2A10" w14:textId="77777777" w:rsidR="000A160E" w:rsidRPr="005C47CD" w:rsidRDefault="000A160E" w:rsidP="00F13E3B">
      <w:pPr>
        <w:pStyle w:val="Heading2"/>
        <w:numPr>
          <w:ilvl w:val="0"/>
          <w:numId w:val="11"/>
        </w:numPr>
        <w:tabs>
          <w:tab w:val="clear" w:pos="0"/>
        </w:tabs>
        <w:ind w:left="851" w:hanging="284"/>
      </w:pPr>
      <w:r w:rsidRPr="005C47CD">
        <w:t xml:space="preserve">drawing a distinction between special or exclusive rights involving an advantage whose profit should be taken into consideration in financing public service obligations and universal coverage that involves a disadvantage for the designated provider; </w:t>
      </w:r>
    </w:p>
    <w:p w14:paraId="581D713E" w14:textId="77777777" w:rsidR="000A160E" w:rsidRPr="005C47CD" w:rsidRDefault="000A160E" w:rsidP="00F13E3B">
      <w:pPr>
        <w:pStyle w:val="Heading2"/>
        <w:numPr>
          <w:ilvl w:val="0"/>
          <w:numId w:val="11"/>
        </w:numPr>
        <w:tabs>
          <w:tab w:val="clear" w:pos="0"/>
        </w:tabs>
        <w:ind w:left="851" w:hanging="284"/>
      </w:pPr>
      <w:r w:rsidRPr="005C47CD">
        <w:t xml:space="preserve">providing further clarification on profitability standards and to allow the use of different standards rather than imposing a particular one on the Member States; </w:t>
      </w:r>
    </w:p>
    <w:p w14:paraId="7C8E31A9" w14:textId="68DE4F34" w:rsidR="000A160E" w:rsidRPr="005C47CD" w:rsidRDefault="000A160E" w:rsidP="00F13E3B">
      <w:pPr>
        <w:pStyle w:val="Heading2"/>
        <w:numPr>
          <w:ilvl w:val="0"/>
          <w:numId w:val="11"/>
        </w:numPr>
        <w:tabs>
          <w:tab w:val="clear" w:pos="0"/>
        </w:tabs>
        <w:ind w:left="851" w:hanging="284"/>
      </w:pPr>
      <w:r w:rsidRPr="005C47CD">
        <w:t>clarifying further the alternative ways of calculating these incentives, whose use should not be binding</w:t>
      </w:r>
      <w:r w:rsidR="00C84BC4" w:rsidRPr="005C47CD">
        <w:t>,</w:t>
      </w:r>
      <w:r w:rsidRPr="005C47CD">
        <w:t xml:space="preserve"> given the complexity involved.</w:t>
      </w:r>
    </w:p>
    <w:p w14:paraId="4128518C" w14:textId="77777777" w:rsidR="005B2C4D" w:rsidRPr="005C47CD" w:rsidRDefault="005B2C4D">
      <w:pPr>
        <w:overflowPunct/>
        <w:adjustRightInd/>
        <w:textAlignment w:val="auto"/>
      </w:pPr>
    </w:p>
    <w:p w14:paraId="42CD2CDE" w14:textId="48D9D04D" w:rsidR="005B2C4D" w:rsidRPr="005C47CD" w:rsidRDefault="005B2C4D">
      <w:pPr>
        <w:pStyle w:val="Heading1"/>
        <w:overflowPunct/>
        <w:adjustRightInd/>
        <w:ind w:left="567" w:hanging="567"/>
        <w:textAlignment w:val="auto"/>
      </w:pPr>
      <w:r w:rsidRPr="005C47CD">
        <w:rPr>
          <w:b/>
        </w:rPr>
        <w:t>Subject of the own-initiative opinion</w:t>
      </w:r>
    </w:p>
    <w:p w14:paraId="2A9CB063" w14:textId="77777777" w:rsidR="005B2C4D" w:rsidRPr="005C47CD" w:rsidRDefault="005B2C4D">
      <w:pPr>
        <w:overflowPunct/>
        <w:adjustRightInd/>
        <w:textAlignment w:val="auto"/>
      </w:pPr>
    </w:p>
    <w:p w14:paraId="11E55E13" w14:textId="526126E9" w:rsidR="005B2C4D" w:rsidRPr="005C47CD" w:rsidRDefault="005B2C4D">
      <w:pPr>
        <w:pStyle w:val="Heading2"/>
        <w:overflowPunct/>
        <w:adjustRightInd/>
        <w:ind w:left="567" w:hanging="567"/>
        <w:textAlignment w:val="auto"/>
      </w:pPr>
      <w:r w:rsidRPr="005C47CD">
        <w:t>In its action plan for 2017, the EESC stressed the importance of services of general economic interest as an essential element of our European economic and social model, enshrined as such by Article 14 of the Treaty on the Functioning of the European Union.</w:t>
      </w:r>
    </w:p>
    <w:p w14:paraId="76530FC1" w14:textId="77777777" w:rsidR="005B2C4D" w:rsidRPr="005C47CD" w:rsidRDefault="005B2C4D">
      <w:pPr>
        <w:overflowPunct/>
        <w:adjustRightInd/>
        <w:textAlignment w:val="auto"/>
      </w:pPr>
    </w:p>
    <w:p w14:paraId="6B905379" w14:textId="6D9B6AD3" w:rsidR="005B2C4D" w:rsidRPr="005C47CD" w:rsidRDefault="005B2C4D" w:rsidP="000A160E">
      <w:pPr>
        <w:pStyle w:val="Heading2"/>
      </w:pPr>
      <w:r w:rsidRPr="005C47CD">
        <w:t xml:space="preserve">Article 14 calls on the </w:t>
      </w:r>
      <w:r w:rsidR="000A160E" w:rsidRPr="005C47CD">
        <w:t xml:space="preserve">Union and the </w:t>
      </w:r>
      <w:r w:rsidRPr="005C47CD">
        <w:t xml:space="preserve">Member States to </w:t>
      </w:r>
      <w:r w:rsidR="000A160E" w:rsidRPr="005C47CD">
        <w:rPr>
          <w:i/>
        </w:rPr>
        <w:t>“take care that such services operate on the basis of principles and conditions, particularly</w:t>
      </w:r>
      <w:r w:rsidRPr="005C47CD">
        <w:t xml:space="preserve"> economic and financial conditions</w:t>
      </w:r>
      <w:r w:rsidR="000A160E" w:rsidRPr="005C47CD">
        <w:rPr>
          <w:i/>
        </w:rPr>
        <w:t xml:space="preserve">, which </w:t>
      </w:r>
      <w:r w:rsidRPr="005C47CD">
        <w:t>enabl</w:t>
      </w:r>
      <w:r w:rsidR="00CE579C" w:rsidRPr="005C47CD">
        <w:t>e</w:t>
      </w:r>
      <w:r w:rsidRPr="005C47CD">
        <w:t xml:space="preserve"> </w:t>
      </w:r>
      <w:r w:rsidR="000A160E" w:rsidRPr="005C47CD">
        <w:rPr>
          <w:i/>
        </w:rPr>
        <w:t>them</w:t>
      </w:r>
      <w:r w:rsidRPr="005C47CD">
        <w:t xml:space="preserve"> </w:t>
      </w:r>
      <w:r w:rsidR="0025387E" w:rsidRPr="005C47CD">
        <w:rPr>
          <w:i/>
        </w:rPr>
        <w:t xml:space="preserve">to </w:t>
      </w:r>
      <w:r w:rsidR="000A160E" w:rsidRPr="005C47CD">
        <w:rPr>
          <w:i/>
        </w:rPr>
        <w:t>fulfil their missions”</w:t>
      </w:r>
      <w:r w:rsidR="000A160E" w:rsidRPr="005C47CD">
        <w:t>. Furthermore</w:t>
      </w:r>
      <w:r w:rsidRPr="005C47CD">
        <w:t xml:space="preserve">, it </w:t>
      </w:r>
      <w:r w:rsidR="000A160E" w:rsidRPr="005C47CD">
        <w:t xml:space="preserve">provides that </w:t>
      </w:r>
      <w:r w:rsidR="000A160E" w:rsidRPr="005C47CD">
        <w:rPr>
          <w:i/>
        </w:rPr>
        <w:t>“</w:t>
      </w:r>
      <w:r w:rsidRPr="005C47CD">
        <w:t xml:space="preserve"> </w:t>
      </w:r>
      <w:r w:rsidRPr="005C47CD">
        <w:rPr>
          <w:i/>
        </w:rPr>
        <w:t>the European Parliament</w:t>
      </w:r>
      <w:r w:rsidRPr="005C47CD">
        <w:t xml:space="preserve"> </w:t>
      </w:r>
      <w:r w:rsidR="000A160E" w:rsidRPr="005C47CD">
        <w:rPr>
          <w:i/>
        </w:rPr>
        <w:t>and the Council, acting by means of</w:t>
      </w:r>
      <w:r w:rsidRPr="005C47CD">
        <w:t xml:space="preserve"> regulations </w:t>
      </w:r>
      <w:r w:rsidR="000A160E" w:rsidRPr="005C47CD">
        <w:rPr>
          <w:i/>
        </w:rPr>
        <w:t xml:space="preserve">in accordance with the ordinary legislative procedure, shall establish these principles and set these conditions without prejudice to the competence of Member States, in compliance to the Treaties, to provide, to commission and to </w:t>
      </w:r>
      <w:r w:rsidR="000A160E" w:rsidRPr="005C47CD">
        <w:rPr>
          <w:i/>
        </w:rPr>
        <w:lastRenderedPageBreak/>
        <w:t>fund such services”</w:t>
      </w:r>
      <w:r w:rsidR="000A160E" w:rsidRPr="005C47CD">
        <w:t xml:space="preserve">. This </w:t>
      </w:r>
      <w:r w:rsidRPr="005C47CD">
        <w:t xml:space="preserve">mandate has </w:t>
      </w:r>
      <w:r w:rsidR="00CE579C" w:rsidRPr="005C47CD">
        <w:t xml:space="preserve">not been translated </w:t>
      </w:r>
      <w:r w:rsidRPr="005C47CD">
        <w:t>in</w:t>
      </w:r>
      <w:r w:rsidR="00CE579C" w:rsidRPr="005C47CD">
        <w:t>to</w:t>
      </w:r>
      <w:r w:rsidRPr="005C47CD">
        <w:t xml:space="preserve"> specific legislative initiatives</w:t>
      </w:r>
      <w:r w:rsidR="000A160E" w:rsidRPr="005C47CD">
        <w:t xml:space="preserve"> until now</w:t>
      </w:r>
      <w:r w:rsidRPr="005C47CD">
        <w:t>. By contrast, the European Commission has developed a far-reaching set of rules on State aid applicable to SGEIs following the case law of the Court of Justice of the European Union.</w:t>
      </w:r>
    </w:p>
    <w:p w14:paraId="1ADF4C9C" w14:textId="77777777" w:rsidR="005B2C4D" w:rsidRPr="005C47CD" w:rsidRDefault="005B2C4D">
      <w:pPr>
        <w:overflowPunct/>
        <w:adjustRightInd/>
        <w:textAlignment w:val="auto"/>
      </w:pPr>
    </w:p>
    <w:p w14:paraId="038AB5B2" w14:textId="4D58467D" w:rsidR="005B2C4D" w:rsidRPr="005C47CD" w:rsidRDefault="005B2C4D">
      <w:pPr>
        <w:pStyle w:val="Heading2"/>
        <w:overflowPunct/>
        <w:adjustRightInd/>
        <w:ind w:left="567" w:hanging="567"/>
        <w:textAlignment w:val="auto"/>
      </w:pPr>
      <w:r w:rsidRPr="005C47CD">
        <w:t>The conditions of compatibility with the Treaty rules on State aid and Article 106</w:t>
      </w:r>
      <w:r w:rsidR="00CE579C" w:rsidRPr="005C47CD">
        <w:t>(2)</w:t>
      </w:r>
      <w:r w:rsidRPr="005C47CD">
        <w:t xml:space="preserve"> </w:t>
      </w:r>
      <w:r w:rsidR="00CE579C" w:rsidRPr="005C47CD">
        <w:t xml:space="preserve">TFEU </w:t>
      </w:r>
      <w:r w:rsidR="00774BB2" w:rsidRPr="005C47CD">
        <w:t xml:space="preserve">have been </w:t>
      </w:r>
      <w:r w:rsidRPr="005C47CD">
        <w:t>contentious</w:t>
      </w:r>
      <w:r w:rsidR="00774BB2" w:rsidRPr="005C47CD">
        <w:t>,</w:t>
      </w:r>
      <w:r w:rsidRPr="005C47CD">
        <w:t xml:space="preserve"> even since the Court of First Instance ruled in 1997</w:t>
      </w:r>
      <w:r w:rsidRPr="005C47CD">
        <w:rPr>
          <w:rStyle w:val="FootnoteReference"/>
        </w:rPr>
        <w:footnoteReference w:id="3"/>
      </w:r>
      <w:r w:rsidRPr="005C47CD">
        <w:t xml:space="preserve"> that compensation awarded to firms implementing a public service mission </w:t>
      </w:r>
      <w:r w:rsidR="00774BB2" w:rsidRPr="005C47CD">
        <w:t xml:space="preserve">should be regarded as </w:t>
      </w:r>
      <w:r w:rsidRPr="005C47CD">
        <w:t>State aid. Until then</w:t>
      </w:r>
      <w:r w:rsidR="00774BB2" w:rsidRPr="005C47CD">
        <w:t xml:space="preserve"> the consensus</w:t>
      </w:r>
      <w:r w:rsidRPr="005C47CD">
        <w:t xml:space="preserve"> </w:t>
      </w:r>
      <w:r w:rsidR="00774BB2" w:rsidRPr="005C47CD">
        <w:t xml:space="preserve">had been </w:t>
      </w:r>
      <w:r w:rsidRPr="005C47CD">
        <w:t xml:space="preserve">that compensating the extra costs stemming from the more demanding obligations associated </w:t>
      </w:r>
      <w:r w:rsidR="00774BB2" w:rsidRPr="005C47CD">
        <w:t xml:space="preserve">with </w:t>
      </w:r>
      <w:r w:rsidRPr="005C47CD">
        <w:t xml:space="preserve">SGEIs did not confer any advantage. The Court of Justice reversed </w:t>
      </w:r>
      <w:r w:rsidR="00774BB2" w:rsidRPr="005C47CD">
        <w:t>this position</w:t>
      </w:r>
      <w:r w:rsidRPr="005C47CD">
        <w:t xml:space="preserve"> in 2001</w:t>
      </w:r>
      <w:r w:rsidRPr="005C47CD">
        <w:rPr>
          <w:rStyle w:val="FootnoteReference"/>
        </w:rPr>
        <w:footnoteReference w:id="4"/>
      </w:r>
      <w:r w:rsidR="00774BB2" w:rsidRPr="005C47CD">
        <w:t>,</w:t>
      </w:r>
      <w:r w:rsidRPr="005C47CD">
        <w:t xml:space="preserve"> considering that</w:t>
      </w:r>
      <w:r w:rsidR="003C3AB6" w:rsidRPr="005C47CD">
        <w:t xml:space="preserve"> the</w:t>
      </w:r>
      <w:r w:rsidRPr="005C47CD">
        <w:t xml:space="preserve"> </w:t>
      </w:r>
      <w:r w:rsidR="00774BB2" w:rsidRPr="005C47CD">
        <w:t xml:space="preserve">compensation could be considered </w:t>
      </w:r>
      <w:r w:rsidRPr="005C47CD">
        <w:t xml:space="preserve">State aid only </w:t>
      </w:r>
      <w:r w:rsidR="00774BB2" w:rsidRPr="005C47CD">
        <w:t xml:space="preserve">if it exceeded </w:t>
      </w:r>
      <w:r w:rsidRPr="005C47CD">
        <w:t xml:space="preserve">the additional costs borne by the designated provider. Finally, the </w:t>
      </w:r>
      <w:proofErr w:type="spellStart"/>
      <w:r w:rsidRPr="005C47CD">
        <w:t>Altmark</w:t>
      </w:r>
      <w:proofErr w:type="spellEnd"/>
      <w:r w:rsidRPr="005C47CD">
        <w:t xml:space="preserve"> ruling in 2003</w:t>
      </w:r>
      <w:r w:rsidRPr="005C47CD">
        <w:rPr>
          <w:rStyle w:val="FootnoteReference"/>
        </w:rPr>
        <w:footnoteReference w:id="5"/>
      </w:r>
      <w:r w:rsidRPr="005C47CD">
        <w:t xml:space="preserve"> established the criteria that any compensation scheme </w:t>
      </w:r>
      <w:r w:rsidR="00922C06" w:rsidRPr="005C47CD">
        <w:t xml:space="preserve">should meet to fall </w:t>
      </w:r>
      <w:r w:rsidRPr="005C47CD">
        <w:t xml:space="preserve">outside the </w:t>
      </w:r>
      <w:r w:rsidR="00922C06" w:rsidRPr="005C47CD">
        <w:t xml:space="preserve">scope of </w:t>
      </w:r>
      <w:r w:rsidRPr="005C47CD">
        <w:t>State aid</w:t>
      </w:r>
      <w:r w:rsidR="00922C06" w:rsidRPr="005C47CD">
        <w:t xml:space="preserve"> rules</w:t>
      </w:r>
      <w:r w:rsidRPr="005C47CD">
        <w:t>.</w:t>
      </w:r>
    </w:p>
    <w:p w14:paraId="7B6929E7" w14:textId="77777777" w:rsidR="005B2C4D" w:rsidRPr="005C47CD" w:rsidRDefault="005B2C4D">
      <w:pPr>
        <w:overflowPunct/>
        <w:adjustRightInd/>
        <w:textAlignment w:val="auto"/>
      </w:pPr>
    </w:p>
    <w:p w14:paraId="1581828F" w14:textId="6598F70F" w:rsidR="005B2C4D" w:rsidRPr="005C47CD" w:rsidRDefault="005B2C4D">
      <w:pPr>
        <w:pStyle w:val="Heading2"/>
        <w:overflowPunct/>
        <w:adjustRightInd/>
        <w:ind w:left="567" w:hanging="567"/>
        <w:textAlignment w:val="auto"/>
      </w:pPr>
      <w:r w:rsidRPr="005C47CD">
        <w:t xml:space="preserve">The European Commission </w:t>
      </w:r>
      <w:r w:rsidR="007430D5" w:rsidRPr="005C47CD">
        <w:t xml:space="preserve">determines the compatibility of </w:t>
      </w:r>
      <w:r w:rsidRPr="005C47CD">
        <w:t xml:space="preserve">SGEIs </w:t>
      </w:r>
      <w:r w:rsidR="007430D5" w:rsidRPr="005C47CD">
        <w:t>with State aid rules</w:t>
      </w:r>
      <w:r w:rsidRPr="005C47CD">
        <w:t>, closely follow</w:t>
      </w:r>
      <w:r w:rsidR="00657875" w:rsidRPr="005C47CD">
        <w:t>ing</w:t>
      </w:r>
      <w:r w:rsidRPr="005C47CD">
        <w:t xml:space="preserve"> the three introductory </w:t>
      </w:r>
      <w:proofErr w:type="spellStart"/>
      <w:r w:rsidRPr="005C47CD">
        <w:t>Altmark</w:t>
      </w:r>
      <w:proofErr w:type="spellEnd"/>
      <w:r w:rsidRPr="005C47CD">
        <w:t xml:space="preserve"> criteria</w:t>
      </w:r>
      <w:r w:rsidR="007430D5" w:rsidRPr="005C47CD">
        <w:t xml:space="preserve">. This </w:t>
      </w:r>
      <w:r w:rsidRPr="005C47CD">
        <w:t>requir</w:t>
      </w:r>
      <w:r w:rsidR="007430D5" w:rsidRPr="005C47CD">
        <w:t>es</w:t>
      </w:r>
      <w:r w:rsidRPr="005C47CD">
        <w:t>:</w:t>
      </w:r>
    </w:p>
    <w:p w14:paraId="247A53C9" w14:textId="77777777" w:rsidR="005B2C4D" w:rsidRPr="005C47CD" w:rsidRDefault="005B2C4D">
      <w:pPr>
        <w:overflowPunct/>
        <w:adjustRightInd/>
        <w:ind w:left="567"/>
        <w:textAlignment w:val="auto"/>
        <w:outlineLvl w:val="1"/>
      </w:pPr>
    </w:p>
    <w:p w14:paraId="03ED0377" w14:textId="4D6B66EC" w:rsidR="005B2C4D" w:rsidRPr="005C47CD" w:rsidRDefault="00926D21" w:rsidP="000D2E05">
      <w:pPr>
        <w:numPr>
          <w:ilvl w:val="0"/>
          <w:numId w:val="6"/>
        </w:numPr>
        <w:tabs>
          <w:tab w:val="clear" w:pos="0"/>
        </w:tabs>
        <w:overflowPunct/>
        <w:adjustRightInd/>
        <w:ind w:left="850"/>
        <w:textAlignment w:val="auto"/>
        <w:outlineLvl w:val="1"/>
      </w:pPr>
      <w:r w:rsidRPr="005C47CD">
        <w:t>a clear definition of the public service obligations and specific entrustment to the designated provider through a public act;</w:t>
      </w:r>
    </w:p>
    <w:p w14:paraId="36AA9D9C" w14:textId="4EED7C0A" w:rsidR="005B2C4D" w:rsidRPr="005C47CD" w:rsidRDefault="00926D21" w:rsidP="000D2E05">
      <w:pPr>
        <w:numPr>
          <w:ilvl w:val="0"/>
          <w:numId w:val="7"/>
        </w:numPr>
        <w:tabs>
          <w:tab w:val="clear" w:pos="0"/>
        </w:tabs>
        <w:overflowPunct/>
        <w:adjustRightInd/>
        <w:ind w:left="850"/>
        <w:textAlignment w:val="auto"/>
        <w:outlineLvl w:val="1"/>
      </w:pPr>
      <w:r w:rsidRPr="005C47CD">
        <w:rPr>
          <w:i/>
        </w:rPr>
        <w:t>ex-ante</w:t>
      </w:r>
      <w:r w:rsidRPr="005C47CD">
        <w:t xml:space="preserve"> establishment of the parameters for calculating the compensation in an objective and transparent way;</w:t>
      </w:r>
    </w:p>
    <w:p w14:paraId="4A6D380C" w14:textId="44EE3013" w:rsidR="005B2C4D" w:rsidRPr="005C47CD" w:rsidRDefault="00926D21" w:rsidP="000D2E05">
      <w:pPr>
        <w:numPr>
          <w:ilvl w:val="0"/>
          <w:numId w:val="8"/>
        </w:numPr>
        <w:tabs>
          <w:tab w:val="clear" w:pos="0"/>
        </w:tabs>
        <w:overflowPunct/>
        <w:adjustRightInd/>
        <w:ind w:left="850"/>
        <w:textAlignment w:val="auto"/>
        <w:outlineLvl w:val="1"/>
      </w:pPr>
      <w:r w:rsidRPr="005C47CD">
        <w:t>compensation not to exceed the expenses incurred in implementing the public service, taking into account the corresponding income and a reasonable profit;</w:t>
      </w:r>
    </w:p>
    <w:p w14:paraId="66EAF7A0" w14:textId="22785E1A" w:rsidR="000A160E" w:rsidRPr="005C47CD" w:rsidRDefault="00926D21" w:rsidP="00F13E3B">
      <w:pPr>
        <w:pStyle w:val="ListParagraph"/>
        <w:numPr>
          <w:ilvl w:val="0"/>
          <w:numId w:val="12"/>
        </w:numPr>
        <w:tabs>
          <w:tab w:val="clear" w:pos="0"/>
        </w:tabs>
        <w:overflowPunct/>
        <w:adjustRightInd/>
        <w:ind w:left="850"/>
        <w:textAlignment w:val="auto"/>
      </w:pPr>
      <w:r w:rsidRPr="005C47CD">
        <w:t xml:space="preserve">selection of the designated provider </w:t>
      </w:r>
      <w:r w:rsidR="000A160E" w:rsidRPr="005C47CD">
        <w:t>must be undertaken either:</w:t>
      </w:r>
    </w:p>
    <w:p w14:paraId="761DFC74" w14:textId="799B6045" w:rsidR="005B2C4D" w:rsidRPr="005C47CD" w:rsidRDefault="00926D21" w:rsidP="00F13E3B">
      <w:pPr>
        <w:pStyle w:val="ListParagraph"/>
        <w:numPr>
          <w:ilvl w:val="0"/>
          <w:numId w:val="14"/>
        </w:numPr>
        <w:tabs>
          <w:tab w:val="clear" w:pos="0"/>
        </w:tabs>
        <w:overflowPunct/>
        <w:adjustRightInd/>
        <w:ind w:left="1134"/>
        <w:textAlignment w:val="auto"/>
      </w:pPr>
      <w:r w:rsidRPr="005C47CD">
        <w:t xml:space="preserve">through a public procurement procedure ensuring the lowest </w:t>
      </w:r>
      <w:r w:rsidR="000A160E" w:rsidRPr="005C47CD">
        <w:t>cost for the community</w:t>
      </w:r>
      <w:r w:rsidRPr="005C47CD">
        <w:t>;</w:t>
      </w:r>
    </w:p>
    <w:p w14:paraId="776AF622" w14:textId="58C94042" w:rsidR="005B2C4D" w:rsidRPr="005C47CD" w:rsidRDefault="000A160E" w:rsidP="00F13E3B">
      <w:pPr>
        <w:pStyle w:val="ListParagraph"/>
        <w:numPr>
          <w:ilvl w:val="0"/>
          <w:numId w:val="14"/>
        </w:numPr>
        <w:tabs>
          <w:tab w:val="clear" w:pos="0"/>
        </w:tabs>
        <w:ind w:left="1134"/>
      </w:pPr>
      <w:r w:rsidRPr="005C47CD">
        <w:t xml:space="preserve">determining the level of compensation on the basis of  </w:t>
      </w:r>
      <w:r w:rsidR="00926D21" w:rsidRPr="005C47CD">
        <w:t xml:space="preserve">the costs that an average enterprise, well-run and adequately equipped, would bear in delivering the service, matched by the corresponding income, plus a reasonable profit. </w:t>
      </w:r>
    </w:p>
    <w:p w14:paraId="6BD307B1" w14:textId="194B13B8" w:rsidR="005B2C4D" w:rsidRPr="005C47CD" w:rsidRDefault="005B2C4D" w:rsidP="00C133A6">
      <w:pPr>
        <w:overflowPunct/>
        <w:adjustRightInd/>
        <w:ind w:left="567"/>
        <w:textAlignment w:val="auto"/>
        <w:outlineLvl w:val="1"/>
        <w:rPr>
          <w:sz w:val="24"/>
        </w:rPr>
      </w:pPr>
    </w:p>
    <w:p w14:paraId="2756A711" w14:textId="6A79048D" w:rsidR="005B2C4D" w:rsidRPr="005C47CD" w:rsidRDefault="00B87233">
      <w:pPr>
        <w:pStyle w:val="Heading2"/>
        <w:overflowPunct/>
        <w:adjustRightInd/>
        <w:ind w:left="567" w:hanging="567"/>
        <w:textAlignment w:val="auto"/>
      </w:pPr>
      <w:r w:rsidRPr="005C47CD">
        <w:t>In 2005 t</w:t>
      </w:r>
      <w:r w:rsidR="004E386C" w:rsidRPr="005C47CD">
        <w:t xml:space="preserve">he Commission adopted </w:t>
      </w:r>
      <w:r w:rsidRPr="005C47CD">
        <w:t>the "</w:t>
      </w:r>
      <w:r w:rsidR="004E386C" w:rsidRPr="005C47CD">
        <w:t>Monti-</w:t>
      </w:r>
      <w:proofErr w:type="spellStart"/>
      <w:r w:rsidR="004E386C" w:rsidRPr="005C47CD">
        <w:t>Kroes</w:t>
      </w:r>
      <w:proofErr w:type="spellEnd"/>
      <w:r w:rsidR="004E386C" w:rsidRPr="005C47CD">
        <w:t xml:space="preserve"> package</w:t>
      </w:r>
      <w:r w:rsidRPr="005C47CD">
        <w:t>"</w:t>
      </w:r>
      <w:r w:rsidR="004E386C" w:rsidRPr="005C47CD">
        <w:t>, updated in 2011 (</w:t>
      </w:r>
      <w:r w:rsidRPr="005C47CD">
        <w:t>the "</w:t>
      </w:r>
      <w:proofErr w:type="spellStart"/>
      <w:r w:rsidR="004E386C" w:rsidRPr="005C47CD">
        <w:t>Almunia</w:t>
      </w:r>
      <w:proofErr w:type="spellEnd"/>
      <w:r w:rsidR="004E386C" w:rsidRPr="005C47CD">
        <w:t xml:space="preserve"> package</w:t>
      </w:r>
      <w:r w:rsidRPr="005C47CD">
        <w:t>"</w:t>
      </w:r>
      <w:r w:rsidR="004E386C" w:rsidRPr="005C47CD">
        <w:t xml:space="preserve">), </w:t>
      </w:r>
      <w:r w:rsidRPr="005C47CD">
        <w:t xml:space="preserve">with </w:t>
      </w:r>
      <w:r w:rsidR="004E386C" w:rsidRPr="005C47CD">
        <w:t xml:space="preserve">key rules </w:t>
      </w:r>
      <w:r w:rsidRPr="005C47CD">
        <w:t xml:space="preserve">for </w:t>
      </w:r>
      <w:r w:rsidR="00222F31" w:rsidRPr="005C47CD">
        <w:t xml:space="preserve">SGE </w:t>
      </w:r>
      <w:r w:rsidR="004E386C" w:rsidRPr="005C47CD">
        <w:t xml:space="preserve">funding: </w:t>
      </w:r>
      <w:r w:rsidRPr="005C47CD">
        <w:t>th</w:t>
      </w:r>
      <w:r w:rsidR="00657875" w:rsidRPr="005C47CD">
        <w:t>e</w:t>
      </w:r>
      <w:r w:rsidRPr="005C47CD">
        <w:t xml:space="preserve"> package includes a </w:t>
      </w:r>
      <w:r w:rsidR="009A4E42" w:rsidRPr="005C47CD">
        <w:t xml:space="preserve">Commission </w:t>
      </w:r>
      <w:r w:rsidRPr="005C47CD">
        <w:t>Communication</w:t>
      </w:r>
      <w:r w:rsidR="004E386C" w:rsidRPr="005C47CD">
        <w:rPr>
          <w:rStyle w:val="FootnoteReference"/>
        </w:rPr>
        <w:footnoteReference w:id="6"/>
      </w:r>
      <w:r w:rsidR="004E386C" w:rsidRPr="005C47CD">
        <w:t xml:space="preserve"> </w:t>
      </w:r>
      <w:r w:rsidR="003C3AB6" w:rsidRPr="005C47CD">
        <w:t>(the “Framework” hereafter)</w:t>
      </w:r>
      <w:r w:rsidR="003F5D45" w:rsidRPr="005C47CD">
        <w:t xml:space="preserve"> </w:t>
      </w:r>
      <w:r w:rsidRPr="005C47CD">
        <w:t>set</w:t>
      </w:r>
      <w:r w:rsidR="009A4E42" w:rsidRPr="005C47CD">
        <w:t>ting</w:t>
      </w:r>
      <w:r w:rsidRPr="005C47CD">
        <w:t xml:space="preserve"> </w:t>
      </w:r>
      <w:r w:rsidR="004E386C" w:rsidRPr="005C47CD">
        <w:t xml:space="preserve">out the conditions of compatibility for SGEIs and a </w:t>
      </w:r>
      <w:r w:rsidR="009A4E42" w:rsidRPr="005C47CD">
        <w:t xml:space="preserve">Commission </w:t>
      </w:r>
      <w:r w:rsidR="004E386C" w:rsidRPr="005C47CD">
        <w:t>Decision</w:t>
      </w:r>
      <w:r w:rsidR="004E386C" w:rsidRPr="005C47CD">
        <w:rPr>
          <w:rStyle w:val="FootnoteReference"/>
        </w:rPr>
        <w:footnoteReference w:id="7"/>
      </w:r>
      <w:r w:rsidR="004E386C" w:rsidRPr="005C47CD">
        <w:t xml:space="preserve"> </w:t>
      </w:r>
      <w:r w:rsidRPr="005C47CD">
        <w:t xml:space="preserve">exempting </w:t>
      </w:r>
      <w:r w:rsidR="004E386C" w:rsidRPr="005C47CD">
        <w:t xml:space="preserve">from notification schemes </w:t>
      </w:r>
      <w:r w:rsidR="009A4E42" w:rsidRPr="005C47CD">
        <w:t xml:space="preserve">that are </w:t>
      </w:r>
      <w:r w:rsidR="004E386C" w:rsidRPr="005C47CD">
        <w:t xml:space="preserve">less likely to distort </w:t>
      </w:r>
      <w:r w:rsidR="004E386C" w:rsidRPr="005C47CD">
        <w:lastRenderedPageBreak/>
        <w:t>competition due to their limited funding</w:t>
      </w:r>
      <w:r w:rsidR="004E386C" w:rsidRPr="005C47CD">
        <w:rPr>
          <w:rStyle w:val="FootnoteReference"/>
        </w:rPr>
        <w:footnoteReference w:id="8"/>
      </w:r>
      <w:r w:rsidR="004E386C" w:rsidRPr="005C47CD">
        <w:t xml:space="preserve"> or targeting </w:t>
      </w:r>
      <w:r w:rsidR="009A4E42" w:rsidRPr="005C47CD">
        <w:t xml:space="preserve">of </w:t>
      </w:r>
      <w:r w:rsidR="004E386C" w:rsidRPr="005C47CD">
        <w:t>activities meeting social needs</w:t>
      </w:r>
      <w:r w:rsidR="004E386C" w:rsidRPr="005C47CD">
        <w:rPr>
          <w:rStyle w:val="FootnoteReference"/>
        </w:rPr>
        <w:footnoteReference w:id="9"/>
      </w:r>
      <w:r w:rsidR="004E386C" w:rsidRPr="005C47CD">
        <w:t>. The Commission declared its intention to carry out a review of this set of rules five years after their entry into force.</w:t>
      </w:r>
    </w:p>
    <w:p w14:paraId="296224F9" w14:textId="77777777" w:rsidR="00211A06" w:rsidRPr="005C47CD" w:rsidRDefault="00211A06">
      <w:pPr>
        <w:overflowPunct/>
        <w:adjustRightInd/>
        <w:textAlignment w:val="auto"/>
      </w:pPr>
    </w:p>
    <w:p w14:paraId="353131B6" w14:textId="55D31AAA" w:rsidR="00211A06" w:rsidRPr="005C47CD" w:rsidRDefault="009A4E42">
      <w:pPr>
        <w:pStyle w:val="Heading2"/>
        <w:overflowPunct/>
        <w:adjustRightInd/>
        <w:ind w:left="567" w:hanging="567"/>
        <w:textAlignment w:val="auto"/>
      </w:pPr>
      <w:r w:rsidRPr="005C47CD">
        <w:t xml:space="preserve">As part of </w:t>
      </w:r>
      <w:r w:rsidR="00211A06" w:rsidRPr="005C47CD">
        <w:t xml:space="preserve">its Programme for Europe, </w:t>
      </w:r>
      <w:r w:rsidRPr="005C47CD">
        <w:t xml:space="preserve">the EESC's objective with </w:t>
      </w:r>
      <w:r w:rsidR="00211A06" w:rsidRPr="005C47CD">
        <w:t xml:space="preserve">this own-initiative opinion </w:t>
      </w:r>
      <w:r w:rsidRPr="005C47CD">
        <w:t xml:space="preserve">is to contribute </w:t>
      </w:r>
      <w:r w:rsidR="00211A06" w:rsidRPr="005C47CD">
        <w:t xml:space="preserve">to the </w:t>
      </w:r>
      <w:r w:rsidRPr="005C47CD">
        <w:t xml:space="preserve">upcoming </w:t>
      </w:r>
      <w:r w:rsidR="00211A06" w:rsidRPr="005C47CD">
        <w:t xml:space="preserve">Commission review by </w:t>
      </w:r>
      <w:r w:rsidRPr="005C47CD">
        <w:t xml:space="preserve">taking a detailed look at experience with implementing the </w:t>
      </w:r>
      <w:r w:rsidR="00211A06" w:rsidRPr="005C47CD">
        <w:t>SGEI</w:t>
      </w:r>
      <w:r w:rsidR="00222F31" w:rsidRPr="005C47CD">
        <w:t>s</w:t>
      </w:r>
      <w:r w:rsidR="00211A06" w:rsidRPr="005C47CD">
        <w:t xml:space="preserve"> package. To this </w:t>
      </w:r>
      <w:r w:rsidRPr="005C47CD">
        <w:t>end</w:t>
      </w:r>
      <w:r w:rsidR="00211A06" w:rsidRPr="005C47CD">
        <w:t xml:space="preserve">, </w:t>
      </w:r>
      <w:r w:rsidR="00222F31" w:rsidRPr="005C47CD">
        <w:t xml:space="preserve">the EESC </w:t>
      </w:r>
      <w:r w:rsidRPr="005C47CD">
        <w:t xml:space="preserve">has </w:t>
      </w:r>
      <w:r w:rsidR="00211A06" w:rsidRPr="005C47CD">
        <w:t xml:space="preserve">commissioned a </w:t>
      </w:r>
      <w:r w:rsidRPr="005C47CD">
        <w:t>s</w:t>
      </w:r>
      <w:r w:rsidR="00211A06" w:rsidRPr="005C47CD">
        <w:t>tudy on the application of SGEI</w:t>
      </w:r>
      <w:r w:rsidR="00222F31" w:rsidRPr="005C47CD">
        <w:t>s</w:t>
      </w:r>
      <w:r w:rsidR="00211A06" w:rsidRPr="005C47CD">
        <w:t xml:space="preserve"> rules to public compensation</w:t>
      </w:r>
      <w:r w:rsidR="00211A06" w:rsidRPr="005C47CD">
        <w:rPr>
          <w:rStyle w:val="FootnoteReference"/>
        </w:rPr>
        <w:footnoteReference w:id="10"/>
      </w:r>
      <w:r w:rsidR="00211A06" w:rsidRPr="005C47CD">
        <w:t xml:space="preserve">. </w:t>
      </w:r>
    </w:p>
    <w:p w14:paraId="35FCDBF6" w14:textId="77777777" w:rsidR="00211A06" w:rsidRPr="005C47CD" w:rsidRDefault="00211A06">
      <w:pPr>
        <w:overflowPunct/>
        <w:adjustRightInd/>
        <w:textAlignment w:val="auto"/>
      </w:pPr>
    </w:p>
    <w:p w14:paraId="4721DDC0" w14:textId="730B553C" w:rsidR="00773144" w:rsidRPr="005C47CD" w:rsidRDefault="00773144" w:rsidP="00F13E3B">
      <w:pPr>
        <w:pStyle w:val="Heading2"/>
      </w:pPr>
      <w:r w:rsidRPr="005C47CD">
        <w:t>SGEI compensations rarely affect competition</w:t>
      </w:r>
      <w:r w:rsidR="00C84BC4" w:rsidRPr="005C47CD">
        <w:t>,</w:t>
      </w:r>
      <w:r w:rsidRPr="005C47CD">
        <w:t xml:space="preserve"> as far as they cover the extra costs incurred by the designated providers in discharging the public remit. Thus, imposing on them the burden associated with State aid notification seems an overzealous step only justified in cases where other participants might suffer an undisputed damage. By contrast, conduct that severely undermine</w:t>
      </w:r>
      <w:r w:rsidR="00C84BC4" w:rsidRPr="005C47CD">
        <w:t>s</w:t>
      </w:r>
      <w:r w:rsidRPr="005C47CD">
        <w:t xml:space="preserve"> market conditions such as dumping sales from third countries or prices fixed at lower than warranted levels are unevenly matched by Community action. Thus, extending the scope of the Decision exempting SGEIs from notification, coupled with enhanced legal certainty and further flexibility in implementing the rules, seem essential to ensure that Treaty provisions fostering these essential services are </w:t>
      </w:r>
      <w:r w:rsidR="000D07F2" w:rsidRPr="005C47CD">
        <w:t>properly met</w:t>
      </w:r>
      <w:r w:rsidRPr="005C47CD">
        <w:t>.</w:t>
      </w:r>
    </w:p>
    <w:p w14:paraId="42985680" w14:textId="77777777" w:rsidR="00773144" w:rsidRPr="005C47CD" w:rsidRDefault="00773144" w:rsidP="00F13E3B"/>
    <w:p w14:paraId="408F4BD3" w14:textId="7D81E0CA" w:rsidR="00211A06" w:rsidRPr="005C47CD" w:rsidRDefault="00211A06">
      <w:pPr>
        <w:pStyle w:val="Heading1"/>
        <w:overflowPunct/>
        <w:adjustRightInd/>
        <w:ind w:left="567" w:hanging="567"/>
        <w:textAlignment w:val="auto"/>
        <w:rPr>
          <w:b/>
        </w:rPr>
      </w:pPr>
      <w:r w:rsidRPr="005C47CD">
        <w:rPr>
          <w:b/>
        </w:rPr>
        <w:t>Upgrading the Decision and extending its scope</w:t>
      </w:r>
    </w:p>
    <w:p w14:paraId="38312B73" w14:textId="77777777" w:rsidR="00211A06" w:rsidRPr="005C47CD" w:rsidRDefault="00211A06">
      <w:pPr>
        <w:overflowPunct/>
        <w:adjustRightInd/>
        <w:textAlignment w:val="auto"/>
      </w:pPr>
    </w:p>
    <w:p w14:paraId="515C9AD7" w14:textId="0CE91C0B" w:rsidR="00211A06" w:rsidRPr="005C47CD" w:rsidRDefault="00211A06">
      <w:pPr>
        <w:pStyle w:val="Heading2"/>
        <w:overflowPunct/>
        <w:adjustRightInd/>
        <w:ind w:left="567" w:hanging="567"/>
        <w:textAlignment w:val="auto"/>
      </w:pPr>
      <w:r w:rsidRPr="005C47CD">
        <w:t xml:space="preserve">The EESC believes </w:t>
      </w:r>
      <w:r w:rsidR="00376714" w:rsidRPr="005C47CD">
        <w:t xml:space="preserve">that </w:t>
      </w:r>
      <w:r w:rsidRPr="005C47CD">
        <w:t>the Decision strikes the right balance between the need to foster and support SGEIs and the objective of preventing potential distortions of competition. Exemption from notification reduces the administrative costs and complexities that authorities</w:t>
      </w:r>
      <w:r w:rsidR="00376714" w:rsidRPr="005C47CD">
        <w:t xml:space="preserve"> would otherwise face</w:t>
      </w:r>
      <w:r w:rsidRPr="005C47CD">
        <w:t xml:space="preserve">, in particular at local level. </w:t>
      </w:r>
      <w:r w:rsidR="00376714" w:rsidRPr="005C47CD">
        <w:t xml:space="preserve">Because </w:t>
      </w:r>
      <w:r w:rsidRPr="005C47CD">
        <w:t xml:space="preserve">SGEIs </w:t>
      </w:r>
      <w:r w:rsidR="00376714" w:rsidRPr="005C47CD">
        <w:t xml:space="preserve">that are not eligible under </w:t>
      </w:r>
      <w:r w:rsidRPr="005C47CD">
        <w:t xml:space="preserve">the Decision face </w:t>
      </w:r>
      <w:r w:rsidR="00376714" w:rsidRPr="005C47CD">
        <w:t>strict</w:t>
      </w:r>
      <w:r w:rsidR="00773144" w:rsidRPr="005C47CD">
        <w:t>er</w:t>
      </w:r>
      <w:r w:rsidRPr="005C47CD">
        <w:t xml:space="preserve"> rules, only cases raising particular concerns for competition should fall outside its scope, </w:t>
      </w:r>
      <w:r w:rsidR="00376714" w:rsidRPr="005C47CD">
        <w:t>in accordance with the aim</w:t>
      </w:r>
      <w:r w:rsidRPr="005C47CD">
        <w:t xml:space="preserve"> of concentrating </w:t>
      </w:r>
      <w:r w:rsidR="0006598A" w:rsidRPr="005C47CD">
        <w:t xml:space="preserve">at EU level </w:t>
      </w:r>
      <w:r w:rsidRPr="005C47CD">
        <w:t xml:space="preserve">resources for the scrutiny of </w:t>
      </w:r>
      <w:r w:rsidR="000F49AC" w:rsidRPr="005C47CD">
        <w:t xml:space="preserve">State </w:t>
      </w:r>
      <w:r w:rsidRPr="005C47CD">
        <w:t xml:space="preserve">aid. Experience </w:t>
      </w:r>
      <w:r w:rsidR="000F49AC" w:rsidRPr="005C47CD">
        <w:t xml:space="preserve">has shown that </w:t>
      </w:r>
      <w:r w:rsidRPr="005C47CD">
        <w:t xml:space="preserve">the Commission clears an overwhelming majority of </w:t>
      </w:r>
      <w:r w:rsidR="000F49AC" w:rsidRPr="005C47CD">
        <w:t xml:space="preserve">the </w:t>
      </w:r>
      <w:r w:rsidRPr="005C47CD">
        <w:t>SGEI</w:t>
      </w:r>
      <w:r w:rsidR="00222F31" w:rsidRPr="005C47CD">
        <w:t>s</w:t>
      </w:r>
      <w:r w:rsidRPr="005C47CD">
        <w:t xml:space="preserve"> schemes examined by it. </w:t>
      </w:r>
      <w:r w:rsidR="00773144" w:rsidRPr="005C47CD">
        <w:t xml:space="preserve">Only three SGEI cases have led to an in-depth investigation procedure under Article 108(2) of the TFEU since the 2012 Decision and Framework were enacted. Two </w:t>
      </w:r>
      <w:r w:rsidR="00773144" w:rsidRPr="005C47CD">
        <w:lastRenderedPageBreak/>
        <w:t>cases involved postal services</w:t>
      </w:r>
      <w:r w:rsidR="00773144" w:rsidRPr="005C47CD">
        <w:rPr>
          <w:rStyle w:val="FootnoteReference"/>
        </w:rPr>
        <w:footnoteReference w:id="11"/>
      </w:r>
      <w:r w:rsidR="00773144" w:rsidRPr="005C47CD">
        <w:t xml:space="preserve"> and another a hospital scheme</w:t>
      </w:r>
      <w:r w:rsidR="00773144" w:rsidRPr="005C47CD">
        <w:rPr>
          <w:rStyle w:val="FootnoteReference"/>
        </w:rPr>
        <w:footnoteReference w:id="12"/>
      </w:r>
      <w:r w:rsidR="00773144" w:rsidRPr="005C47CD">
        <w:t xml:space="preserve"> following a Court ruling annulling a clearance decision by the Commission as </w:t>
      </w:r>
      <w:r w:rsidR="002F3487" w:rsidRPr="005C47CD">
        <w:t xml:space="preserve">the </w:t>
      </w:r>
      <w:r w:rsidR="00773144" w:rsidRPr="005C47CD">
        <w:t xml:space="preserve">complexity </w:t>
      </w:r>
      <w:r w:rsidR="002F3487" w:rsidRPr="005C47CD">
        <w:t xml:space="preserve">meant that </w:t>
      </w:r>
      <w:r w:rsidR="00773144" w:rsidRPr="005C47CD">
        <w:t>a formal investigation</w:t>
      </w:r>
      <w:r w:rsidR="002F3487" w:rsidRPr="005C47CD">
        <w:t xml:space="preserve"> was required</w:t>
      </w:r>
      <w:r w:rsidR="00773144" w:rsidRPr="005C47CD">
        <w:t>. In all cases examined by the Commission, claims by competitors play a key role</w:t>
      </w:r>
      <w:r w:rsidR="00C7562B" w:rsidRPr="005C47CD">
        <w:t>,</w:t>
      </w:r>
      <w:r w:rsidR="00773144" w:rsidRPr="005C47CD">
        <w:t xml:space="preserve"> thus securing full discipline without </w:t>
      </w:r>
      <w:r w:rsidR="00C7562B" w:rsidRPr="005C47CD">
        <w:t xml:space="preserve">requiring the </w:t>
      </w:r>
      <w:r w:rsidR="00773144" w:rsidRPr="005C47CD">
        <w:t xml:space="preserve">systematic notification of SGEI schemes. </w:t>
      </w:r>
      <w:r w:rsidRPr="005C47CD">
        <w:t xml:space="preserve">Furthermore, case law and Commission practice provide enough guidance to stakeholders for gauging whether they can safely apply the Decision without the need </w:t>
      </w:r>
      <w:r w:rsidR="000F49AC" w:rsidRPr="005C47CD">
        <w:t xml:space="preserve">to </w:t>
      </w:r>
      <w:r w:rsidRPr="005C47CD">
        <w:t>notify SGEI</w:t>
      </w:r>
      <w:r w:rsidR="00222F31" w:rsidRPr="005C47CD">
        <w:t>s</w:t>
      </w:r>
      <w:r w:rsidRPr="005C47CD">
        <w:t xml:space="preserve"> schemes to secure full certainty. </w:t>
      </w:r>
      <w:r w:rsidR="000F49AC" w:rsidRPr="005C47CD">
        <w:t>T</w:t>
      </w:r>
      <w:r w:rsidRPr="005C47CD">
        <w:t xml:space="preserve">he EESC </w:t>
      </w:r>
      <w:r w:rsidR="000F49AC" w:rsidRPr="005C47CD">
        <w:t xml:space="preserve">therefore </w:t>
      </w:r>
      <w:r w:rsidR="00F51EF0" w:rsidRPr="005C47CD">
        <w:t>suggests that</w:t>
      </w:r>
      <w:r w:rsidR="000F49AC" w:rsidRPr="005C47CD">
        <w:t xml:space="preserve"> </w:t>
      </w:r>
      <w:r w:rsidRPr="005C47CD">
        <w:t xml:space="preserve">the Commission </w:t>
      </w:r>
      <w:r w:rsidR="005F790A" w:rsidRPr="005C47CD">
        <w:t>remove</w:t>
      </w:r>
      <w:r w:rsidRPr="005C47CD">
        <w:t xml:space="preserve"> the </w:t>
      </w:r>
      <w:r w:rsidR="00773144" w:rsidRPr="005C47CD">
        <w:t xml:space="preserve">exemption </w:t>
      </w:r>
      <w:r w:rsidRPr="005C47CD">
        <w:t xml:space="preserve">threshold and include all SGEI, </w:t>
      </w:r>
      <w:r w:rsidR="000F49AC" w:rsidRPr="005C47CD">
        <w:t xml:space="preserve">in </w:t>
      </w:r>
      <w:r w:rsidRPr="005C47CD">
        <w:t xml:space="preserve">the </w:t>
      </w:r>
      <w:r w:rsidR="00773144" w:rsidRPr="005C47CD">
        <w:t>Decision regardless</w:t>
      </w:r>
      <w:r w:rsidRPr="005C47CD">
        <w:t xml:space="preserve"> of </w:t>
      </w:r>
      <w:r w:rsidR="00773144" w:rsidRPr="005C47CD">
        <w:t>the yearly compensatory amount</w:t>
      </w:r>
      <w:r w:rsidR="00F22834" w:rsidRPr="005C47CD">
        <w:t>,</w:t>
      </w:r>
      <w:r w:rsidR="00773144" w:rsidRPr="005C47CD">
        <w:t xml:space="preserve"> following the example of compensatory schemes for passenger transport</w:t>
      </w:r>
      <w:r w:rsidR="00773144" w:rsidRPr="005C47CD">
        <w:rPr>
          <w:rStyle w:val="FootnoteReference"/>
        </w:rPr>
        <w:footnoteReference w:id="13"/>
      </w:r>
      <w:r w:rsidR="00773144" w:rsidRPr="005C47CD">
        <w:t>.</w:t>
      </w:r>
      <w:r w:rsidRPr="005C47CD">
        <w:t>.</w:t>
      </w:r>
    </w:p>
    <w:p w14:paraId="381C20C4" w14:textId="77777777" w:rsidR="00211A06" w:rsidRPr="005C47CD" w:rsidRDefault="00211A06">
      <w:pPr>
        <w:overflowPunct/>
        <w:adjustRightInd/>
        <w:textAlignment w:val="auto"/>
      </w:pPr>
    </w:p>
    <w:p w14:paraId="2A21D91E" w14:textId="0E86351C" w:rsidR="00211A06" w:rsidRPr="005C47CD" w:rsidRDefault="00211A06">
      <w:pPr>
        <w:pStyle w:val="Heading2"/>
        <w:overflowPunct/>
        <w:adjustRightInd/>
        <w:ind w:left="567" w:hanging="567"/>
        <w:textAlignment w:val="auto"/>
      </w:pPr>
      <w:r w:rsidRPr="005C47CD">
        <w:t xml:space="preserve">Setting a threshold according to the volume of aid involved </w:t>
      </w:r>
      <w:r w:rsidR="00773144" w:rsidRPr="005C47CD">
        <w:t>thus triggering</w:t>
      </w:r>
      <w:r w:rsidRPr="005C47CD">
        <w:t xml:space="preserve"> notification </w:t>
      </w:r>
      <w:r w:rsidR="00773144" w:rsidRPr="005C47CD">
        <w:t>may</w:t>
      </w:r>
      <w:r w:rsidRPr="005C47CD">
        <w:t xml:space="preserve"> </w:t>
      </w:r>
      <w:r w:rsidR="00F51EF0" w:rsidRPr="005C47CD">
        <w:t xml:space="preserve">have </w:t>
      </w:r>
      <w:r w:rsidRPr="005C47CD">
        <w:t>relevance for scrutiny at EU level</w:t>
      </w:r>
      <w:r w:rsidR="00AC7A15" w:rsidRPr="005C47CD">
        <w:t>, except</w:t>
      </w:r>
      <w:r w:rsidR="00773144" w:rsidRPr="005C47CD">
        <w:t xml:space="preserve"> in cases where granting the aid involves non-transparent modalities, such as fiscal rebates or exonerations, soft loans or public guarantees. Furthermore</w:t>
      </w:r>
      <w:r w:rsidRPr="005C47CD">
        <w:t xml:space="preserve">, the </w:t>
      </w:r>
      <w:r w:rsidR="00773144" w:rsidRPr="005C47CD">
        <w:t xml:space="preserve">Decision </w:t>
      </w:r>
      <w:r w:rsidR="00020857" w:rsidRPr="005C47CD">
        <w:t>provides</w:t>
      </w:r>
      <w:r w:rsidR="00773144" w:rsidRPr="005C47CD">
        <w:t xml:space="preserve"> that specific activities may require scrutiny due to competition concerns, thus allowing it to impose mandatory notification </w:t>
      </w:r>
      <w:r w:rsidR="00581888" w:rsidRPr="005C47CD">
        <w:t xml:space="preserve">in order </w:t>
      </w:r>
      <w:r w:rsidR="00773144" w:rsidRPr="005C47CD">
        <w:t xml:space="preserve">to </w:t>
      </w:r>
      <w:r w:rsidR="00581888" w:rsidRPr="005C47CD">
        <w:t>address</w:t>
      </w:r>
      <w:r w:rsidR="00773144" w:rsidRPr="005C47CD">
        <w:t xml:space="preserve"> such cases. In any event, maintaining the current threshold </w:t>
      </w:r>
      <w:r w:rsidRPr="005C47CD">
        <w:t>set in Article 2</w:t>
      </w:r>
      <w:r w:rsidR="000F49AC" w:rsidRPr="005C47CD">
        <w:t>(</w:t>
      </w:r>
      <w:r w:rsidRPr="005C47CD">
        <w:t>1</w:t>
      </w:r>
      <w:r w:rsidR="000F49AC" w:rsidRPr="005C47CD">
        <w:t>)(</w:t>
      </w:r>
      <w:r w:rsidRPr="005C47CD">
        <w:t xml:space="preserve">a) of the Decision </w:t>
      </w:r>
      <w:r w:rsidR="00773144" w:rsidRPr="005C47CD">
        <w:t xml:space="preserve">at such </w:t>
      </w:r>
      <w:r w:rsidRPr="005C47CD">
        <w:t>extremely low</w:t>
      </w:r>
      <w:r w:rsidR="00773144" w:rsidRPr="005C47CD">
        <w:t xml:space="preserve"> levels, imposes undue burden </w:t>
      </w:r>
      <w:r w:rsidR="0070601B" w:rsidRPr="005C47CD">
        <w:t>on</w:t>
      </w:r>
      <w:r w:rsidR="00773144" w:rsidRPr="005C47CD">
        <w:t xml:space="preserve"> authorities</w:t>
      </w:r>
      <w:r w:rsidR="0070601B" w:rsidRPr="005C47CD">
        <w:t>,</w:t>
      </w:r>
      <w:r w:rsidR="00773144" w:rsidRPr="005C47CD">
        <w:t xml:space="preserve"> </w:t>
      </w:r>
      <w:r w:rsidR="0070601B" w:rsidRPr="005C47CD">
        <w:t>with</w:t>
      </w:r>
      <w:r w:rsidR="00773144" w:rsidRPr="005C47CD">
        <w:t xml:space="preserve"> no visible advantage for enforcing competition</w:t>
      </w:r>
      <w:r w:rsidRPr="005C47CD">
        <w:t xml:space="preserve">. Therefore, the EESC </w:t>
      </w:r>
      <w:r w:rsidR="000F49AC" w:rsidRPr="005C47CD">
        <w:t xml:space="preserve">would ask </w:t>
      </w:r>
      <w:r w:rsidRPr="005C47CD">
        <w:t xml:space="preserve">the Commission to </w:t>
      </w:r>
      <w:r w:rsidR="00773144" w:rsidRPr="005C47CD">
        <w:t>confine</w:t>
      </w:r>
      <w:r w:rsidR="000F49AC" w:rsidRPr="005C47CD">
        <w:t xml:space="preserve"> the </w:t>
      </w:r>
      <w:r w:rsidR="00773144" w:rsidRPr="005C47CD">
        <w:t xml:space="preserve">notification </w:t>
      </w:r>
      <w:r w:rsidR="000F49AC" w:rsidRPr="005C47CD">
        <w:t xml:space="preserve">requirement to </w:t>
      </w:r>
      <w:r w:rsidR="00773144" w:rsidRPr="005C47CD">
        <w:t>forms of aid or particular</w:t>
      </w:r>
      <w:r w:rsidRPr="005C47CD">
        <w:t xml:space="preserve"> activities where </w:t>
      </w:r>
      <w:r w:rsidR="00437292" w:rsidRPr="005C47CD">
        <w:t>potential distortions</w:t>
      </w:r>
      <w:r w:rsidRPr="005C47CD">
        <w:t xml:space="preserve"> might </w:t>
      </w:r>
      <w:r w:rsidR="00437292" w:rsidRPr="005C47CD">
        <w:t>warrant a</w:t>
      </w:r>
      <w:r w:rsidRPr="005C47CD">
        <w:t xml:space="preserve"> closer </w:t>
      </w:r>
      <w:r w:rsidR="00437292" w:rsidRPr="005C47CD">
        <w:t>view to ensure an even</w:t>
      </w:r>
      <w:r w:rsidR="001B38C2" w:rsidRPr="005C47CD">
        <w:t xml:space="preserve"> </w:t>
      </w:r>
      <w:r w:rsidR="00437292" w:rsidRPr="005C47CD">
        <w:t>playing field</w:t>
      </w:r>
      <w:r w:rsidRPr="005C47CD">
        <w:t>.</w:t>
      </w:r>
    </w:p>
    <w:p w14:paraId="495B5E37" w14:textId="77777777" w:rsidR="00211A06" w:rsidRPr="005C47CD" w:rsidRDefault="00211A06">
      <w:pPr>
        <w:overflowPunct/>
        <w:adjustRightInd/>
        <w:textAlignment w:val="auto"/>
      </w:pPr>
    </w:p>
    <w:p w14:paraId="513A4D2E" w14:textId="7F746B4E" w:rsidR="00211A06" w:rsidRPr="005C47CD" w:rsidRDefault="00437292">
      <w:pPr>
        <w:pStyle w:val="Heading2"/>
        <w:overflowPunct/>
        <w:adjustRightInd/>
        <w:ind w:left="567" w:hanging="567"/>
        <w:textAlignment w:val="auto"/>
      </w:pPr>
      <w:r w:rsidRPr="005C47CD">
        <w:t>The EESC invites the EC to examine the possibility</w:t>
      </w:r>
      <w:r w:rsidR="000F49AC" w:rsidRPr="005C47CD">
        <w:t xml:space="preserve"> to b</w:t>
      </w:r>
      <w:r w:rsidR="00211A06" w:rsidRPr="005C47CD">
        <w:t>roaden the scope of the Decision</w:t>
      </w:r>
      <w:r w:rsidRPr="005C47CD">
        <w:t xml:space="preserve"> in order to make </w:t>
      </w:r>
      <w:r w:rsidR="00211A06" w:rsidRPr="005C47CD">
        <w:t xml:space="preserve">eligible </w:t>
      </w:r>
      <w:r w:rsidR="000F49AC" w:rsidRPr="005C47CD">
        <w:t xml:space="preserve">services </w:t>
      </w:r>
      <w:r w:rsidRPr="005C47CD">
        <w:t xml:space="preserve">related </w:t>
      </w:r>
      <w:r w:rsidR="000F49AC" w:rsidRPr="005C47CD">
        <w:t>to enhance</w:t>
      </w:r>
      <w:r w:rsidR="00211A06" w:rsidRPr="005C47CD">
        <w:t xml:space="preserve"> people</w:t>
      </w:r>
      <w:r w:rsidR="000F49AC" w:rsidRPr="005C47CD">
        <w:t>'</w:t>
      </w:r>
      <w:r w:rsidR="00211A06" w:rsidRPr="005C47CD">
        <w:t>s knowledge and qualifications</w:t>
      </w:r>
      <w:r w:rsidR="00EE1B63" w:rsidRPr="005C47CD">
        <w:t xml:space="preserve"> and</w:t>
      </w:r>
      <w:r w:rsidR="00211A06" w:rsidRPr="005C47CD">
        <w:t xml:space="preserve"> thus </w:t>
      </w:r>
      <w:r w:rsidR="00F51EF0" w:rsidRPr="005C47CD">
        <w:t>improve</w:t>
      </w:r>
      <w:r w:rsidR="00EE1B63" w:rsidRPr="005C47CD">
        <w:t xml:space="preserve"> </w:t>
      </w:r>
      <w:r w:rsidR="00211A06" w:rsidRPr="005C47CD">
        <w:t xml:space="preserve">their </w:t>
      </w:r>
      <w:r w:rsidR="00EE1B63" w:rsidRPr="005C47CD">
        <w:t>job opportunities</w:t>
      </w:r>
      <w:r w:rsidR="00211A06" w:rsidRPr="005C47CD">
        <w:t xml:space="preserve">. Furthermore, there is a need to </w:t>
      </w:r>
      <w:r w:rsidR="00EE1B63" w:rsidRPr="005C47CD">
        <w:t xml:space="preserve">provide clarification in </w:t>
      </w:r>
      <w:r w:rsidR="00211A06" w:rsidRPr="005C47CD">
        <w:t xml:space="preserve">grey areas involving private </w:t>
      </w:r>
      <w:r w:rsidR="003C3AB6" w:rsidRPr="005C47CD">
        <w:t>involvement</w:t>
      </w:r>
      <w:r w:rsidR="00EE1B63" w:rsidRPr="005C47CD">
        <w:t>,</w:t>
      </w:r>
      <w:r w:rsidR="00211A06" w:rsidRPr="005C47CD">
        <w:t xml:space="preserve"> where further guidance would be welcome. </w:t>
      </w:r>
    </w:p>
    <w:p w14:paraId="143A8255" w14:textId="77777777" w:rsidR="00211A06" w:rsidRPr="005C47CD" w:rsidRDefault="00211A06">
      <w:pPr>
        <w:overflowPunct/>
        <w:adjustRightInd/>
        <w:textAlignment w:val="auto"/>
      </w:pPr>
    </w:p>
    <w:p w14:paraId="23A6C4F5" w14:textId="321AB831" w:rsidR="00211A06" w:rsidRPr="005C47CD" w:rsidRDefault="00211A06">
      <w:pPr>
        <w:pStyle w:val="Heading2"/>
        <w:overflowPunct/>
        <w:adjustRightInd/>
        <w:ind w:left="567" w:hanging="567"/>
        <w:textAlignment w:val="auto"/>
      </w:pPr>
      <w:r w:rsidRPr="005C47CD">
        <w:t>The Decision should ensure full compatibility with higher</w:t>
      </w:r>
      <w:r w:rsidR="00CB10B0" w:rsidRPr="005C47CD">
        <w:t>-</w:t>
      </w:r>
      <w:r w:rsidRPr="005C47CD">
        <w:t xml:space="preserve">ranking Community </w:t>
      </w:r>
      <w:r w:rsidR="00CB10B0" w:rsidRPr="005C47CD">
        <w:t>l</w:t>
      </w:r>
      <w:r w:rsidRPr="005C47CD">
        <w:t xml:space="preserve">aw and avoid undue </w:t>
      </w:r>
      <w:r w:rsidR="003C3AB6" w:rsidRPr="005C47CD">
        <w:t>burden</w:t>
      </w:r>
      <w:r w:rsidR="00CB10B0" w:rsidRPr="005C47CD">
        <w:t xml:space="preserve"> </w:t>
      </w:r>
      <w:r w:rsidRPr="005C47CD">
        <w:t>for regional and local authorities. In particular, Article 8 requires the Member States to keep available during the entrustment period and at least ten years from the end of that period all the information necessary to determine the compatibility of the compensation granted. This rule runs contrary to Article 17 of Council Regulation (EU) 2015/1589</w:t>
      </w:r>
      <w:r w:rsidR="00CB10B0" w:rsidRPr="005C47CD">
        <w:t>,</w:t>
      </w:r>
      <w:r w:rsidRPr="005C47CD">
        <w:t xml:space="preserve"> </w:t>
      </w:r>
      <w:r w:rsidR="00CB10B0" w:rsidRPr="005C47CD">
        <w:t xml:space="preserve">which </w:t>
      </w:r>
      <w:r w:rsidRPr="005C47CD">
        <w:t>provid</w:t>
      </w:r>
      <w:r w:rsidR="00CB10B0" w:rsidRPr="005C47CD">
        <w:t>es</w:t>
      </w:r>
      <w:r w:rsidRPr="005C47CD">
        <w:t xml:space="preserve"> that on </w:t>
      </w:r>
      <w:r w:rsidR="00CB10B0" w:rsidRPr="005C47CD">
        <w:t xml:space="preserve">expiry of </w:t>
      </w:r>
      <w:r w:rsidR="00437292" w:rsidRPr="005C47CD">
        <w:t xml:space="preserve">a </w:t>
      </w:r>
      <w:r w:rsidRPr="005C47CD">
        <w:t xml:space="preserve">10-year </w:t>
      </w:r>
      <w:r w:rsidR="00437292" w:rsidRPr="005C47CD">
        <w:t>period</w:t>
      </w:r>
      <w:r w:rsidR="00437292" w:rsidRPr="005C47CD" w:rsidDel="00437292">
        <w:t xml:space="preserve"> </w:t>
      </w:r>
      <w:r w:rsidRPr="005C47CD">
        <w:t xml:space="preserve"> any </w:t>
      </w:r>
      <w:r w:rsidR="00437292" w:rsidRPr="005C47CD">
        <w:t>aid granted becomes an</w:t>
      </w:r>
      <w:r w:rsidRPr="005C47CD">
        <w:t xml:space="preserve"> existing </w:t>
      </w:r>
      <w:r w:rsidR="00437292" w:rsidRPr="005C47CD">
        <w:t>measure</w:t>
      </w:r>
      <w:r w:rsidRPr="005C47CD">
        <w:t xml:space="preserve">, </w:t>
      </w:r>
      <w:r w:rsidR="00CB10B0" w:rsidRPr="005C47CD">
        <w:t xml:space="preserve">and </w:t>
      </w:r>
      <w:r w:rsidRPr="005C47CD">
        <w:t xml:space="preserve">thus fully compatible. Preserving information </w:t>
      </w:r>
      <w:r w:rsidR="00437292" w:rsidRPr="005C47CD">
        <w:t>for more than 10 years</w:t>
      </w:r>
      <w:r w:rsidR="00437292" w:rsidRPr="005C47CD">
        <w:rPr>
          <w:rStyle w:val="FootnoteReference"/>
        </w:rPr>
        <w:footnoteReference w:id="14"/>
      </w:r>
      <w:r w:rsidR="00437292" w:rsidRPr="005C47CD">
        <w:t xml:space="preserve"> </w:t>
      </w:r>
      <w:r w:rsidRPr="005C47CD">
        <w:t xml:space="preserve">that serves no purpose for State aid </w:t>
      </w:r>
      <w:r w:rsidRPr="005C47CD">
        <w:lastRenderedPageBreak/>
        <w:t xml:space="preserve">control represents an undue burden for authorities and </w:t>
      </w:r>
      <w:r w:rsidR="00CB10B0" w:rsidRPr="005C47CD">
        <w:t xml:space="preserve">infringes </w:t>
      </w:r>
      <w:r w:rsidRPr="005C47CD">
        <w:t>the principles of proportionality and proper administration enshrined in the Treaty.</w:t>
      </w:r>
    </w:p>
    <w:p w14:paraId="01F70B35" w14:textId="77777777" w:rsidR="00211A06" w:rsidRPr="005C47CD" w:rsidRDefault="00211A06">
      <w:pPr>
        <w:overflowPunct/>
        <w:adjustRightInd/>
        <w:textAlignment w:val="auto"/>
      </w:pPr>
    </w:p>
    <w:p w14:paraId="7D75A680" w14:textId="6022407C" w:rsidR="00211A06" w:rsidRPr="005C47CD" w:rsidRDefault="00211A06">
      <w:pPr>
        <w:pStyle w:val="Heading2"/>
        <w:overflowPunct/>
        <w:adjustRightInd/>
        <w:ind w:left="567" w:hanging="567"/>
        <w:textAlignment w:val="auto"/>
      </w:pPr>
      <w:r w:rsidRPr="005C47CD">
        <w:t>Article 2</w:t>
      </w:r>
      <w:r w:rsidR="00CB10B0" w:rsidRPr="005C47CD">
        <w:t>(</w:t>
      </w:r>
      <w:r w:rsidRPr="005C47CD">
        <w:t>2</w:t>
      </w:r>
      <w:r w:rsidR="00CB10B0" w:rsidRPr="005C47CD">
        <w:t>)</w:t>
      </w:r>
      <w:r w:rsidRPr="005C47CD">
        <w:t xml:space="preserve"> of the Decision appl</w:t>
      </w:r>
      <w:r w:rsidR="00222F31" w:rsidRPr="005C47CD">
        <w:t>ies</w:t>
      </w:r>
      <w:r w:rsidRPr="005C47CD">
        <w:t xml:space="preserve"> to entrustments awarded for a maximum of 10 years</w:t>
      </w:r>
      <w:r w:rsidR="00CB10B0" w:rsidRPr="005C47CD">
        <w:t>,</w:t>
      </w:r>
      <w:r w:rsidRPr="005C47CD">
        <w:t xml:space="preserve"> except </w:t>
      </w:r>
      <w:r w:rsidR="00CB10B0" w:rsidRPr="005C47CD">
        <w:t xml:space="preserve">for </w:t>
      </w:r>
      <w:r w:rsidRPr="005C47CD">
        <w:t xml:space="preserve">those SGEIs requiring a significant investment justifying a longer period. While Commission practice under the Framework interprets this rule </w:t>
      </w:r>
      <w:r w:rsidR="004869A0" w:rsidRPr="005C47CD">
        <w:t xml:space="preserve">generally </w:t>
      </w:r>
      <w:r w:rsidRPr="005C47CD">
        <w:t>as preventing</w:t>
      </w:r>
      <w:r w:rsidR="004869A0" w:rsidRPr="005C47CD">
        <w:t xml:space="preserve"> </w:t>
      </w:r>
      <w:r w:rsidRPr="005C47CD">
        <w:t xml:space="preserve">entrustments exceeding that time limit, the wording of the Decision </w:t>
      </w:r>
      <w:r w:rsidR="00880296" w:rsidRPr="005C47CD">
        <w:t xml:space="preserve">could </w:t>
      </w:r>
      <w:r w:rsidRPr="005C47CD">
        <w:t xml:space="preserve">imply that undertakings running a public service for a longer </w:t>
      </w:r>
      <w:r w:rsidR="00880296" w:rsidRPr="005C47CD">
        <w:t xml:space="preserve">period </w:t>
      </w:r>
      <w:r w:rsidRPr="005C47CD">
        <w:t>might fall outside its scope.</w:t>
      </w:r>
      <w:r w:rsidR="00880296" w:rsidRPr="005C47CD">
        <w:t xml:space="preserve"> T</w:t>
      </w:r>
      <w:r w:rsidRPr="005C47CD">
        <w:t xml:space="preserve">he EESC </w:t>
      </w:r>
      <w:r w:rsidR="00880296" w:rsidRPr="005C47CD">
        <w:t xml:space="preserve">therefore requests that </w:t>
      </w:r>
      <w:r w:rsidRPr="005C47CD">
        <w:t>the Commission clarify th</w:t>
      </w:r>
      <w:r w:rsidR="00222F31" w:rsidRPr="005C47CD">
        <w:t>e</w:t>
      </w:r>
      <w:r w:rsidRPr="005C47CD">
        <w:t xml:space="preserve"> entrustments</w:t>
      </w:r>
      <w:r w:rsidR="00437292" w:rsidRPr="005C47CD">
        <w:t>'</w:t>
      </w:r>
      <w:r w:rsidRPr="005C47CD">
        <w:t xml:space="preserve"> time limit </w:t>
      </w:r>
      <w:r w:rsidR="00880296" w:rsidRPr="005C47CD">
        <w:t xml:space="preserve">should not </w:t>
      </w:r>
      <w:r w:rsidRPr="005C47CD">
        <w:t xml:space="preserve">have any material effect on </w:t>
      </w:r>
      <w:r w:rsidR="00437292" w:rsidRPr="005C47CD">
        <w:t xml:space="preserve">their renewal or extension or on </w:t>
      </w:r>
      <w:r w:rsidRPr="005C47CD">
        <w:t xml:space="preserve">the eligibility of service providers </w:t>
      </w:r>
      <w:r w:rsidR="003C3AB6" w:rsidRPr="005C47CD">
        <w:t>running</w:t>
      </w:r>
      <w:r w:rsidR="00880296" w:rsidRPr="005C47CD">
        <w:t xml:space="preserve"> </w:t>
      </w:r>
      <w:r w:rsidRPr="005C47CD">
        <w:t xml:space="preserve">the remit. This issue </w:t>
      </w:r>
      <w:r w:rsidR="00880296" w:rsidRPr="005C47CD">
        <w:t xml:space="preserve">is </w:t>
      </w:r>
      <w:r w:rsidRPr="005C47CD">
        <w:t>particularly sensitive in the case of publicly</w:t>
      </w:r>
      <w:r w:rsidR="00880296" w:rsidRPr="005C47CD">
        <w:t xml:space="preserve"> </w:t>
      </w:r>
      <w:r w:rsidRPr="005C47CD">
        <w:t xml:space="preserve">owned providers entrusted by their authorities, as their </w:t>
      </w:r>
      <w:r w:rsidR="00880296" w:rsidRPr="005C47CD">
        <w:t xml:space="preserve">sole </w:t>
      </w:r>
      <w:r w:rsidRPr="005C47CD">
        <w:t xml:space="preserve">purpose </w:t>
      </w:r>
      <w:r w:rsidR="00880296" w:rsidRPr="005C47CD">
        <w:t xml:space="preserve">is to provide the </w:t>
      </w:r>
      <w:r w:rsidRPr="005C47CD">
        <w:t>public service</w:t>
      </w:r>
      <w:r w:rsidR="00880296" w:rsidRPr="005C47CD">
        <w:t xml:space="preserve"> in question</w:t>
      </w:r>
      <w:r w:rsidRPr="005C47CD">
        <w:t>.</w:t>
      </w:r>
    </w:p>
    <w:p w14:paraId="651CE0B8" w14:textId="77777777" w:rsidR="00211A06" w:rsidRPr="005C47CD" w:rsidRDefault="00211A06">
      <w:pPr>
        <w:overflowPunct/>
        <w:adjustRightInd/>
        <w:textAlignment w:val="auto"/>
      </w:pPr>
    </w:p>
    <w:p w14:paraId="1FE5CEA2" w14:textId="499DA947" w:rsidR="00211A06" w:rsidRPr="005C47CD" w:rsidRDefault="00211A06">
      <w:pPr>
        <w:pStyle w:val="Heading2"/>
        <w:overflowPunct/>
        <w:adjustRightInd/>
        <w:ind w:left="567" w:hanging="567"/>
        <w:textAlignment w:val="auto"/>
      </w:pPr>
      <w:r w:rsidRPr="005C47CD">
        <w:t>Article 5</w:t>
      </w:r>
      <w:r w:rsidR="0002364E" w:rsidRPr="005C47CD">
        <w:t>(5), (7) and (8),</w:t>
      </w:r>
      <w:r w:rsidRPr="005C47CD">
        <w:t xml:space="preserve"> </w:t>
      </w:r>
      <w:r w:rsidR="0002364E" w:rsidRPr="005C47CD">
        <w:t xml:space="preserve">concerning </w:t>
      </w:r>
      <w:r w:rsidRPr="005C47CD">
        <w:t>reasonable profit</w:t>
      </w:r>
      <w:r w:rsidR="0002364E" w:rsidRPr="005C47CD">
        <w:t>,</w:t>
      </w:r>
      <w:r w:rsidRPr="005C47CD">
        <w:t xml:space="preserve"> should set a readily available method for calculating it. </w:t>
      </w:r>
      <w:r w:rsidR="0002364E" w:rsidRPr="005C47CD">
        <w:t>The current approach</w:t>
      </w:r>
      <w:r w:rsidR="00963344" w:rsidRPr="005C47CD">
        <w:t>,</w:t>
      </w:r>
      <w:r w:rsidR="0002364E" w:rsidRPr="005C47CD">
        <w:t xml:space="preserve"> </w:t>
      </w:r>
      <w:r w:rsidR="00437292" w:rsidRPr="005C47CD">
        <w:t>similar</w:t>
      </w:r>
      <w:r w:rsidR="00963344" w:rsidRPr="005C47CD">
        <w:t>ly</w:t>
      </w:r>
      <w:r w:rsidR="00437292" w:rsidRPr="005C47CD">
        <w:t xml:space="preserve"> to </w:t>
      </w:r>
      <w:r w:rsidR="0002364E" w:rsidRPr="005C47CD">
        <w:t xml:space="preserve">that in </w:t>
      </w:r>
      <w:r w:rsidRPr="005C47CD">
        <w:t>the Framework includ</w:t>
      </w:r>
      <w:r w:rsidR="00437292" w:rsidRPr="005C47CD">
        <w:t>es</w:t>
      </w:r>
      <w:r w:rsidRPr="005C47CD">
        <w:t xml:space="preserve"> methods</w:t>
      </w:r>
      <w:r w:rsidR="00437292" w:rsidRPr="005C47CD">
        <w:t xml:space="preserve"> such as the Internal Rate of Return</w:t>
      </w:r>
      <w:r w:rsidRPr="005C47CD">
        <w:t xml:space="preserve"> that prove far too complex for local SGEI </w:t>
      </w:r>
      <w:r w:rsidR="0002364E" w:rsidRPr="005C47CD">
        <w:t xml:space="preserve">and thus discourage </w:t>
      </w:r>
      <w:r w:rsidR="003C3AB6" w:rsidRPr="005C47CD">
        <w:t>thei</w:t>
      </w:r>
      <w:r w:rsidR="00D07028" w:rsidRPr="005C47CD">
        <w:t>r</w:t>
      </w:r>
      <w:r w:rsidRPr="005C47CD">
        <w:t xml:space="preserve"> use for calculating </w:t>
      </w:r>
      <w:r w:rsidR="003C3AB6" w:rsidRPr="005C47CD">
        <w:t xml:space="preserve">the </w:t>
      </w:r>
      <w:r w:rsidRPr="005C47CD">
        <w:t>compensation.</w:t>
      </w:r>
      <w:r w:rsidR="00437292" w:rsidRPr="005C47CD">
        <w:t xml:space="preserve"> Setting up profitability benchmarks involves costly consultancy services out of reach for most SGEIs.</w:t>
      </w:r>
      <w:r w:rsidRPr="005C47CD">
        <w:t xml:space="preserve"> The EESC </w:t>
      </w:r>
      <w:r w:rsidR="0002364E" w:rsidRPr="005C47CD">
        <w:t xml:space="preserve">asks </w:t>
      </w:r>
      <w:r w:rsidRPr="005C47CD">
        <w:t>the Commission to clarify this issue</w:t>
      </w:r>
      <w:r w:rsidR="0002364E" w:rsidRPr="005C47CD">
        <w:t>,</w:t>
      </w:r>
      <w:r w:rsidRPr="005C47CD">
        <w:t xml:space="preserve"> as Commission practice endorses the </w:t>
      </w:r>
      <w:r w:rsidR="00437292" w:rsidRPr="005C47CD">
        <w:t>direct</w:t>
      </w:r>
      <w:r w:rsidRPr="005C47CD">
        <w:t xml:space="preserve"> </w:t>
      </w:r>
      <w:r w:rsidR="00652D57" w:rsidRPr="005C47CD">
        <w:t xml:space="preserve">comparison with </w:t>
      </w:r>
      <w:r w:rsidR="00437292" w:rsidRPr="005C47CD">
        <w:t>related sector</w:t>
      </w:r>
      <w:r w:rsidR="0025387E" w:rsidRPr="005C47CD">
        <w:t>s’</w:t>
      </w:r>
      <w:r w:rsidR="00437292" w:rsidRPr="005C47CD">
        <w:t xml:space="preserve"> profitability </w:t>
      </w:r>
      <w:r w:rsidR="00820793" w:rsidRPr="005C47CD">
        <w:t xml:space="preserve">based on </w:t>
      </w:r>
      <w:r w:rsidR="00437292" w:rsidRPr="005C47CD">
        <w:t>available</w:t>
      </w:r>
      <w:r w:rsidR="0025387E" w:rsidRPr="005C47CD">
        <w:t xml:space="preserve"> </w:t>
      </w:r>
      <w:r w:rsidRPr="005C47CD">
        <w:t>official or private data sources</w:t>
      </w:r>
      <w:r w:rsidR="00820793" w:rsidRPr="005C47CD">
        <w:t xml:space="preserve"> </w:t>
      </w:r>
      <w:r w:rsidRPr="005C47CD">
        <w:t>widely recognised as fully representative.</w:t>
      </w:r>
    </w:p>
    <w:p w14:paraId="0CDF6F37" w14:textId="77777777" w:rsidR="00211A06" w:rsidRPr="005C47CD" w:rsidRDefault="00211A06">
      <w:pPr>
        <w:overflowPunct/>
        <w:adjustRightInd/>
        <w:textAlignment w:val="auto"/>
      </w:pPr>
    </w:p>
    <w:p w14:paraId="72BA50E4" w14:textId="3BF1EE2F" w:rsidR="00211A06" w:rsidRPr="005C47CD" w:rsidRDefault="00211A06">
      <w:pPr>
        <w:pStyle w:val="Heading2"/>
        <w:overflowPunct/>
        <w:adjustRightInd/>
        <w:ind w:left="567" w:hanging="567"/>
        <w:textAlignment w:val="auto"/>
      </w:pPr>
      <w:r w:rsidRPr="005C47CD">
        <w:t xml:space="preserve">Efficiency incentives </w:t>
      </w:r>
      <w:r w:rsidR="00437292" w:rsidRPr="005C47CD">
        <w:t xml:space="preserve">, while lacking any definition, </w:t>
      </w:r>
      <w:r w:rsidRPr="005C47CD">
        <w:t xml:space="preserve">are </w:t>
      </w:r>
      <w:r w:rsidR="00E8199E" w:rsidRPr="005C47CD">
        <w:t xml:space="preserve">taken </w:t>
      </w:r>
      <w:r w:rsidRPr="005C47CD">
        <w:t xml:space="preserve">into account in </w:t>
      </w:r>
      <w:r w:rsidR="00E8199E" w:rsidRPr="005C47CD">
        <w:t>Article 5(6)</w:t>
      </w:r>
      <w:r w:rsidRPr="005C47CD">
        <w:t xml:space="preserve"> </w:t>
      </w:r>
      <w:r w:rsidR="00437292" w:rsidRPr="005C47CD">
        <w:t xml:space="preserve">thus requiring </w:t>
      </w:r>
      <w:r w:rsidRPr="005C47CD">
        <w:t>further clarification</w:t>
      </w:r>
      <w:r w:rsidR="00437292" w:rsidRPr="005C47CD">
        <w:t>, in particular</w:t>
      </w:r>
      <w:r w:rsidRPr="005C47CD">
        <w:t xml:space="preserve"> when addressing the requirement of sharing productive efficiency gains between the undertaking, the Member State and/or the users. The EESC </w:t>
      </w:r>
      <w:r w:rsidR="00E8199E" w:rsidRPr="005C47CD">
        <w:t xml:space="preserve">asks </w:t>
      </w:r>
      <w:r w:rsidRPr="005C47CD">
        <w:t xml:space="preserve">the Commission to dispel </w:t>
      </w:r>
      <w:r w:rsidR="00E8199E" w:rsidRPr="005C47CD">
        <w:t xml:space="preserve">any </w:t>
      </w:r>
      <w:r w:rsidRPr="005C47CD">
        <w:t xml:space="preserve">doubts </w:t>
      </w:r>
      <w:r w:rsidR="00E8199E" w:rsidRPr="005C47CD">
        <w:t xml:space="preserve">about </w:t>
      </w:r>
      <w:r w:rsidRPr="005C47CD">
        <w:t>how to interpret this requirement.</w:t>
      </w:r>
    </w:p>
    <w:p w14:paraId="4256D3C6" w14:textId="77777777" w:rsidR="00211A06" w:rsidRPr="005C47CD" w:rsidRDefault="00211A06">
      <w:pPr>
        <w:overflowPunct/>
        <w:adjustRightInd/>
        <w:textAlignment w:val="auto"/>
      </w:pPr>
    </w:p>
    <w:p w14:paraId="18071B2A" w14:textId="26D93B1E" w:rsidR="00211A06" w:rsidRPr="005C47CD" w:rsidRDefault="00211A06">
      <w:pPr>
        <w:pStyle w:val="Heading2"/>
        <w:overflowPunct/>
        <w:adjustRightInd/>
        <w:ind w:left="567" w:hanging="567"/>
        <w:textAlignment w:val="auto"/>
      </w:pPr>
      <w:r w:rsidRPr="005C47CD">
        <w:t>Article 6</w:t>
      </w:r>
      <w:r w:rsidR="00E8199E" w:rsidRPr="005C47CD">
        <w:t>(2)</w:t>
      </w:r>
      <w:r w:rsidRPr="005C47CD">
        <w:t xml:space="preserve"> of the Decision provides that </w:t>
      </w:r>
      <w:r w:rsidR="00820793" w:rsidRPr="005C47CD">
        <w:t xml:space="preserve">any </w:t>
      </w:r>
      <w:r w:rsidRPr="005C47CD">
        <w:t xml:space="preserve">overcompensation </w:t>
      </w:r>
      <w:r w:rsidR="00820793" w:rsidRPr="005C47CD">
        <w:t xml:space="preserve">should </w:t>
      </w:r>
      <w:r w:rsidRPr="005C47CD">
        <w:t xml:space="preserve">trigger an update of parameters for the future. </w:t>
      </w:r>
      <w:r w:rsidR="00E8199E" w:rsidRPr="005C47CD">
        <w:t>Compensation</w:t>
      </w:r>
      <w:r w:rsidRPr="005C47CD">
        <w:t xml:space="preserve"> not exceeding 10% of the yearly average amount can </w:t>
      </w:r>
      <w:r w:rsidR="00E8199E" w:rsidRPr="005C47CD">
        <w:t xml:space="preserve">nevertheless </w:t>
      </w:r>
      <w:r w:rsidRPr="005C47CD">
        <w:t xml:space="preserve">be carried forward to the next period. Full consistency would </w:t>
      </w:r>
      <w:r w:rsidR="00E8199E" w:rsidRPr="005C47CD">
        <w:t xml:space="preserve">argue for </w:t>
      </w:r>
      <w:r w:rsidRPr="005C47CD">
        <w:t xml:space="preserve">no updating of the parameters in the latter case, avoiding a reappraisal that </w:t>
      </w:r>
      <w:r w:rsidR="00E8199E" w:rsidRPr="005C47CD">
        <w:t xml:space="preserve">would entail </w:t>
      </w:r>
      <w:r w:rsidRPr="005C47CD">
        <w:t xml:space="preserve">legal uncertainty for designated providers in cases </w:t>
      </w:r>
      <w:r w:rsidR="00E8199E" w:rsidRPr="005C47CD">
        <w:t xml:space="preserve">that do not </w:t>
      </w:r>
      <w:r w:rsidRPr="005C47CD">
        <w:t xml:space="preserve">affect competition. The EESC </w:t>
      </w:r>
      <w:r w:rsidR="00E8199E" w:rsidRPr="005C47CD">
        <w:t xml:space="preserve">recommends that </w:t>
      </w:r>
      <w:r w:rsidRPr="005C47CD">
        <w:t xml:space="preserve">the Commission ensure a more flexible approach </w:t>
      </w:r>
      <w:r w:rsidR="00E8199E" w:rsidRPr="005C47CD">
        <w:t xml:space="preserve">to </w:t>
      </w:r>
      <w:r w:rsidRPr="005C47CD">
        <w:t xml:space="preserve">minor overruns not exceeding 10% of the yearly </w:t>
      </w:r>
      <w:bookmarkStart w:id="1" w:name="_GoBack"/>
      <w:r w:rsidRPr="005C47CD">
        <w:t>average compensation</w:t>
      </w:r>
      <w:r w:rsidR="00437292" w:rsidRPr="005C47CD">
        <w:t xml:space="preserve"> exempting them from updating the parameters</w:t>
      </w:r>
      <w:r w:rsidRPr="005C47CD">
        <w:t>.</w:t>
      </w:r>
    </w:p>
    <w:p w14:paraId="45173A92" w14:textId="77777777" w:rsidR="00211A06" w:rsidRPr="005C47CD" w:rsidRDefault="00211A06">
      <w:pPr>
        <w:overflowPunct/>
        <w:adjustRightInd/>
        <w:textAlignment w:val="auto"/>
      </w:pPr>
    </w:p>
    <w:p w14:paraId="52F3AA7B" w14:textId="1D49EF93" w:rsidR="00437292" w:rsidRPr="005C47CD" w:rsidRDefault="00437292" w:rsidP="00F13E3B">
      <w:pPr>
        <w:pStyle w:val="Heading2"/>
      </w:pPr>
      <w:r w:rsidRPr="005C47CD">
        <w:t xml:space="preserve">Any discriminatory treatment of local and regional authorities, and thus of the services of general economic interest provided at these levels, should be avoided. Currently, local and regional authorities have to submit their requests, answers and doubts through </w:t>
      </w:r>
      <w:r w:rsidR="007A05DF" w:rsidRPr="005C47CD">
        <w:t xml:space="preserve">the official channel </w:t>
      </w:r>
      <w:bookmarkEnd w:id="1"/>
      <w:r w:rsidR="007A05DF" w:rsidRPr="005C47CD">
        <w:t>of the</w:t>
      </w:r>
      <w:r w:rsidR="00091D69" w:rsidRPr="005C47CD">
        <w:t>ir</w:t>
      </w:r>
      <w:r w:rsidR="007A05DF" w:rsidRPr="005C47CD">
        <w:t xml:space="preserve"> </w:t>
      </w:r>
      <w:r w:rsidRPr="005C47CD">
        <w:t>Member State</w:t>
      </w:r>
      <w:r w:rsidR="00557430" w:rsidRPr="005C47CD">
        <w:t>,</w:t>
      </w:r>
      <w:r w:rsidRPr="005C47CD">
        <w:t xml:space="preserve"> as only the latter can engage in a formal dialogue on State aid provisions with the Commission. Thus, the information issued by local and regional authorities </w:t>
      </w:r>
      <w:r w:rsidR="003F6CEC" w:rsidRPr="005C47CD">
        <w:t>for</w:t>
      </w:r>
      <w:r w:rsidRPr="005C47CD">
        <w:t xml:space="preserve"> the attention of the Commission </w:t>
      </w:r>
      <w:r w:rsidR="003F6CEC" w:rsidRPr="005C47CD">
        <w:t>must be</w:t>
      </w:r>
      <w:r w:rsidRPr="005C47CD">
        <w:t xml:space="preserve"> taken on board by the respective Member State. Therefore, the EESC invites the Commission to establish a more structured dialogue with local and regional authorities on State aid procedures and issues. State aid rules and requirements should also </w:t>
      </w:r>
      <w:r w:rsidR="00C4114C" w:rsidRPr="005C47CD">
        <w:t xml:space="preserve">be </w:t>
      </w:r>
      <w:r w:rsidRPr="005C47CD">
        <w:t>adapt</w:t>
      </w:r>
      <w:r w:rsidR="00C4114C" w:rsidRPr="005C47CD">
        <w:t>ed</w:t>
      </w:r>
      <w:r w:rsidRPr="005C47CD">
        <w:t xml:space="preserve"> to the special needs and means available for regional and local authorities, thus ensuring fair and equal treatment</w:t>
      </w:r>
      <w:r w:rsidR="00E031A3" w:rsidRPr="005C47CD">
        <w:t xml:space="preserve"> in practice</w:t>
      </w:r>
      <w:r w:rsidRPr="005C47CD">
        <w:t>.</w:t>
      </w:r>
    </w:p>
    <w:p w14:paraId="0BB3F722" w14:textId="77777777" w:rsidR="00437292" w:rsidRPr="005C47CD" w:rsidRDefault="00437292" w:rsidP="00F13E3B"/>
    <w:p w14:paraId="272ED652" w14:textId="4FC57793" w:rsidR="00211A06" w:rsidRPr="005C47CD" w:rsidRDefault="00211A06">
      <w:pPr>
        <w:pStyle w:val="Heading1"/>
        <w:overflowPunct/>
        <w:adjustRightInd/>
        <w:ind w:left="567" w:hanging="567"/>
        <w:textAlignment w:val="auto"/>
        <w:rPr>
          <w:b/>
        </w:rPr>
      </w:pPr>
      <w:r w:rsidRPr="005C47CD">
        <w:rPr>
          <w:b/>
        </w:rPr>
        <w:t>Clarifying the conditions of compatibility under the Framework</w:t>
      </w:r>
    </w:p>
    <w:p w14:paraId="65892215" w14:textId="77777777" w:rsidR="00211A06" w:rsidRPr="005C47CD" w:rsidRDefault="00211A06">
      <w:pPr>
        <w:overflowPunct/>
        <w:adjustRightInd/>
        <w:textAlignment w:val="auto"/>
      </w:pPr>
    </w:p>
    <w:p w14:paraId="58ED7E1B" w14:textId="0A47023F" w:rsidR="00211A06" w:rsidRPr="005C47CD" w:rsidRDefault="00211A06">
      <w:pPr>
        <w:pStyle w:val="Heading2"/>
        <w:overflowPunct/>
        <w:adjustRightInd/>
        <w:ind w:left="567" w:hanging="567"/>
        <w:textAlignment w:val="auto"/>
      </w:pPr>
      <w:r w:rsidRPr="005C47CD">
        <w:t xml:space="preserve">The Framework </w:t>
      </w:r>
      <w:r w:rsidR="00CA4884" w:rsidRPr="005C47CD">
        <w:t xml:space="preserve">sets out </w:t>
      </w:r>
      <w:r w:rsidRPr="005C47CD">
        <w:t xml:space="preserve">in detail the different requirements for ensuring compatibility </w:t>
      </w:r>
      <w:r w:rsidR="00CA4884" w:rsidRPr="005C47CD">
        <w:t xml:space="preserve">in accordance with </w:t>
      </w:r>
      <w:r w:rsidRPr="005C47CD">
        <w:t xml:space="preserve">Article 106(2) </w:t>
      </w:r>
      <w:r w:rsidR="00CA4884" w:rsidRPr="005C47CD">
        <w:t>TFEU</w:t>
      </w:r>
      <w:r w:rsidRPr="005C47CD">
        <w:t xml:space="preserve"> and </w:t>
      </w:r>
      <w:r w:rsidR="00CA4884" w:rsidRPr="005C47CD">
        <w:t xml:space="preserve">the </w:t>
      </w:r>
      <w:r w:rsidRPr="005C47CD">
        <w:t xml:space="preserve">case law interpreting it. While it provides ample </w:t>
      </w:r>
      <w:r w:rsidR="00CA4884" w:rsidRPr="005C47CD">
        <w:t xml:space="preserve">explanation of </w:t>
      </w:r>
      <w:r w:rsidRPr="005C47CD">
        <w:t xml:space="preserve">the criteria </w:t>
      </w:r>
      <w:r w:rsidR="00CA4884" w:rsidRPr="005C47CD">
        <w:t xml:space="preserve">applied </w:t>
      </w:r>
      <w:r w:rsidRPr="005C47CD">
        <w:t xml:space="preserve">by the Commission, it often adopts an overcautious stance that </w:t>
      </w:r>
      <w:r w:rsidR="00CA4884" w:rsidRPr="005C47CD">
        <w:t xml:space="preserve">creates </w:t>
      </w:r>
      <w:r w:rsidRPr="005C47CD">
        <w:t xml:space="preserve">unnecessary problems and </w:t>
      </w:r>
      <w:r w:rsidR="00CA4884" w:rsidRPr="005C47CD">
        <w:t xml:space="preserve">produces a </w:t>
      </w:r>
      <w:r w:rsidRPr="005C47CD">
        <w:t xml:space="preserve">degree of uncertainty. Commission practice shows that in many </w:t>
      </w:r>
      <w:r w:rsidR="00CA4884" w:rsidRPr="005C47CD">
        <w:t xml:space="preserve">areas </w:t>
      </w:r>
      <w:r w:rsidRPr="005C47CD">
        <w:t xml:space="preserve">such difficulties </w:t>
      </w:r>
      <w:r w:rsidR="00CA4884" w:rsidRPr="005C47CD">
        <w:t xml:space="preserve">have been overcome by </w:t>
      </w:r>
      <w:r w:rsidRPr="005C47CD">
        <w:t xml:space="preserve">applying a pragmatic interpretation of the Framework. Making specific references to these solutions would increase legal certainty and effectively reinforce equal treatment while </w:t>
      </w:r>
      <w:r w:rsidR="003C3AB6" w:rsidRPr="005C47CD">
        <w:t>preserving</w:t>
      </w:r>
      <w:r w:rsidR="00CA4884" w:rsidRPr="005C47CD">
        <w:t xml:space="preserve"> </w:t>
      </w:r>
      <w:r w:rsidRPr="005C47CD">
        <w:t xml:space="preserve">the principle that each case should be examined on its merits. </w:t>
      </w:r>
      <w:r w:rsidR="00CA4884" w:rsidRPr="005C47CD">
        <w:t>T</w:t>
      </w:r>
      <w:r w:rsidRPr="005C47CD">
        <w:t xml:space="preserve">he EESC </w:t>
      </w:r>
      <w:r w:rsidR="00CA4884" w:rsidRPr="005C47CD">
        <w:t xml:space="preserve">therefore recommends that </w:t>
      </w:r>
      <w:r w:rsidRPr="005C47CD">
        <w:t xml:space="preserve">the Commission further </w:t>
      </w:r>
      <w:r w:rsidR="00CA4884" w:rsidRPr="005C47CD">
        <w:t xml:space="preserve">specify </w:t>
      </w:r>
      <w:r w:rsidRPr="005C47CD">
        <w:t>the alternative ways of meeting the requirement</w:t>
      </w:r>
      <w:r w:rsidR="00CA4884" w:rsidRPr="005C47CD">
        <w:t xml:space="preserve"> that are</w:t>
      </w:r>
      <w:r w:rsidRPr="005C47CD">
        <w:t xml:space="preserve"> already </w:t>
      </w:r>
      <w:r w:rsidR="00CA4884" w:rsidRPr="005C47CD">
        <w:t xml:space="preserve">widely </w:t>
      </w:r>
      <w:r w:rsidR="00820793" w:rsidRPr="005C47CD">
        <w:t xml:space="preserve">used </w:t>
      </w:r>
      <w:r w:rsidRPr="005C47CD">
        <w:t>in its practice</w:t>
      </w:r>
      <w:r w:rsidR="00CA4884" w:rsidRPr="005C47CD">
        <w:t>.</w:t>
      </w:r>
      <w:r w:rsidRPr="005C47CD">
        <w:t xml:space="preserve"> </w:t>
      </w:r>
      <w:r w:rsidR="00CA4884" w:rsidRPr="005C47CD">
        <w:t>S</w:t>
      </w:r>
      <w:r w:rsidRPr="005C47CD">
        <w:t xml:space="preserve">uch clarification </w:t>
      </w:r>
      <w:r w:rsidR="00CA4884" w:rsidRPr="005C47CD">
        <w:t xml:space="preserve">would </w:t>
      </w:r>
      <w:r w:rsidRPr="005C47CD">
        <w:t xml:space="preserve">dispel many of the doubts authorities and providers </w:t>
      </w:r>
      <w:r w:rsidR="00CA4884" w:rsidRPr="005C47CD">
        <w:t xml:space="preserve">currently </w:t>
      </w:r>
      <w:r w:rsidRPr="005C47CD">
        <w:t>face.</w:t>
      </w:r>
    </w:p>
    <w:p w14:paraId="5ACCB5B7" w14:textId="77777777" w:rsidR="00211A06" w:rsidRPr="005C47CD" w:rsidRDefault="00211A06">
      <w:pPr>
        <w:overflowPunct/>
        <w:adjustRightInd/>
        <w:textAlignment w:val="auto"/>
      </w:pPr>
    </w:p>
    <w:p w14:paraId="7A6424D7" w14:textId="6513C46F" w:rsidR="00211A06" w:rsidRPr="005C47CD" w:rsidRDefault="00CA4884">
      <w:pPr>
        <w:pStyle w:val="Heading2"/>
        <w:overflowPunct/>
        <w:adjustRightInd/>
        <w:ind w:left="567" w:hanging="567"/>
        <w:textAlignment w:val="auto"/>
      </w:pPr>
      <w:r w:rsidRPr="005C47CD">
        <w:t>Under the Treaty, conferring and defining</w:t>
      </w:r>
      <w:r w:rsidR="00211A06" w:rsidRPr="005C47CD">
        <w:t xml:space="preserve"> a public </w:t>
      </w:r>
      <w:r w:rsidRPr="005C47CD">
        <w:t xml:space="preserve">service </w:t>
      </w:r>
      <w:r w:rsidR="00211A06" w:rsidRPr="005C47CD">
        <w:t xml:space="preserve">remit fall under the </w:t>
      </w:r>
      <w:r w:rsidR="00437292" w:rsidRPr="005C47CD">
        <w:t xml:space="preserve">fundamental </w:t>
      </w:r>
      <w:r w:rsidR="00211A06" w:rsidRPr="005C47CD">
        <w:t xml:space="preserve">competence of Member States, </w:t>
      </w:r>
      <w:r w:rsidRPr="005C47CD">
        <w:t>except in</w:t>
      </w:r>
      <w:r w:rsidR="00211A06" w:rsidRPr="005C47CD">
        <w:t xml:space="preserve"> cases of manifest error. Thus the references </w:t>
      </w:r>
      <w:r w:rsidRPr="005C47CD">
        <w:t xml:space="preserve">in </w:t>
      </w:r>
      <w:r w:rsidR="00211A06" w:rsidRPr="005C47CD">
        <w:t xml:space="preserve">point 13 of the Framework to the conditions that </w:t>
      </w:r>
      <w:r w:rsidR="006F30F7" w:rsidRPr="005C47CD">
        <w:t>SGIs/</w:t>
      </w:r>
      <w:r w:rsidR="00211A06" w:rsidRPr="005C47CD">
        <w:t xml:space="preserve">public services </w:t>
      </w:r>
      <w:r w:rsidRPr="005C47CD">
        <w:t xml:space="preserve">should meet </w:t>
      </w:r>
      <w:r w:rsidR="00211A06" w:rsidRPr="005C47CD">
        <w:t xml:space="preserve">can only serve as useful guidance. However, </w:t>
      </w:r>
      <w:r w:rsidR="00820793" w:rsidRPr="005C47CD">
        <w:t>the inclusion of these references</w:t>
      </w:r>
      <w:r w:rsidR="00211A06" w:rsidRPr="005C47CD">
        <w:t xml:space="preserve"> may raise legitimate concerns </w:t>
      </w:r>
      <w:r w:rsidR="00E63C50" w:rsidRPr="005C47CD">
        <w:t xml:space="preserve">about </w:t>
      </w:r>
      <w:r w:rsidR="00211A06" w:rsidRPr="005C47CD">
        <w:t>a potential limitation of the Member States</w:t>
      </w:r>
      <w:r w:rsidR="00E63C50" w:rsidRPr="005C47CD">
        <w:t>'</w:t>
      </w:r>
      <w:r w:rsidR="00211A06" w:rsidRPr="005C47CD">
        <w:t xml:space="preserve"> powers. </w:t>
      </w:r>
      <w:r w:rsidR="003C3AB6" w:rsidRPr="005C47CD">
        <w:t>For,</w:t>
      </w:r>
      <w:r w:rsidR="00E63C50" w:rsidRPr="005C47CD">
        <w:t xml:space="preserve"> </w:t>
      </w:r>
      <w:r w:rsidR="00211A06" w:rsidRPr="005C47CD">
        <w:t xml:space="preserve">it is up to </w:t>
      </w:r>
      <w:r w:rsidR="00820793" w:rsidRPr="005C47CD">
        <w:t xml:space="preserve">the Member States </w:t>
      </w:r>
      <w:r w:rsidR="00211A06" w:rsidRPr="005C47CD">
        <w:t>to decide</w:t>
      </w:r>
      <w:r w:rsidR="00E63C50" w:rsidRPr="005C47CD">
        <w:t>,</w:t>
      </w:r>
      <w:r w:rsidR="00211A06" w:rsidRPr="005C47CD">
        <w:t xml:space="preserve"> in the public interest</w:t>
      </w:r>
      <w:r w:rsidR="00E63C50" w:rsidRPr="005C47CD">
        <w:t>,</w:t>
      </w:r>
      <w:r w:rsidR="00211A06" w:rsidRPr="005C47CD">
        <w:t xml:space="preserve"> </w:t>
      </w:r>
      <w:r w:rsidR="00820793" w:rsidRPr="005C47CD">
        <w:t xml:space="preserve">on </w:t>
      </w:r>
      <w:r w:rsidR="00211A06" w:rsidRPr="005C47CD">
        <w:t xml:space="preserve">the standards of </w:t>
      </w:r>
      <w:r w:rsidR="0025387E" w:rsidRPr="005C47CD">
        <w:t>“</w:t>
      </w:r>
      <w:r w:rsidR="00211A06" w:rsidRPr="005C47CD">
        <w:t xml:space="preserve">quality, </w:t>
      </w:r>
      <w:r w:rsidR="006F30F7" w:rsidRPr="005C47CD">
        <w:t>safety,</w:t>
      </w:r>
      <w:r w:rsidR="0025387E" w:rsidRPr="005C47CD">
        <w:t xml:space="preserve"> </w:t>
      </w:r>
      <w:r w:rsidR="00211A06" w:rsidRPr="005C47CD">
        <w:t xml:space="preserve">affordability, </w:t>
      </w:r>
      <w:r w:rsidR="006F30F7" w:rsidRPr="005C47CD">
        <w:t>equal treatment, promotion of universal</w:t>
      </w:r>
      <w:r w:rsidR="00211A06" w:rsidRPr="005C47CD">
        <w:t xml:space="preserve"> access </w:t>
      </w:r>
      <w:r w:rsidR="006F30F7" w:rsidRPr="005C47CD">
        <w:t>and of user rights</w:t>
      </w:r>
      <w:r w:rsidR="0025387E" w:rsidRPr="005C47CD">
        <w:t>”</w:t>
      </w:r>
      <w:r w:rsidR="00211A06" w:rsidRPr="005C47CD">
        <w:t xml:space="preserve"> that each essential service should meet, regardless of its coverage by the market or a remit. The</w:t>
      </w:r>
      <w:r w:rsidR="00E63C50" w:rsidRPr="005C47CD">
        <w:t xml:space="preserve"> Member States</w:t>
      </w:r>
      <w:r w:rsidR="00211A06" w:rsidRPr="005C47CD">
        <w:t xml:space="preserve"> also </w:t>
      </w:r>
      <w:r w:rsidR="00E63C50" w:rsidRPr="005C47CD">
        <w:t xml:space="preserve">have </w:t>
      </w:r>
      <w:r w:rsidR="00211A06" w:rsidRPr="005C47CD">
        <w:t xml:space="preserve">the power to decide accordingly whether ensuring those standards requires a </w:t>
      </w:r>
      <w:r w:rsidR="006F30F7" w:rsidRPr="005C47CD">
        <w:t>SGEIs/</w:t>
      </w:r>
      <w:r w:rsidR="00211A06" w:rsidRPr="005C47CD">
        <w:t xml:space="preserve">public service. </w:t>
      </w:r>
      <w:r w:rsidR="00820793" w:rsidRPr="005C47CD">
        <w:t>The m</w:t>
      </w:r>
      <w:r w:rsidR="00211A06" w:rsidRPr="005C47CD">
        <w:t xml:space="preserve">arket </w:t>
      </w:r>
      <w:r w:rsidR="003C3AB6" w:rsidRPr="005C47CD">
        <w:t>conditions</w:t>
      </w:r>
      <w:r w:rsidR="00211A06" w:rsidRPr="005C47CD">
        <w:t xml:space="preserve">, while being highly relevant, cannot overrule or </w:t>
      </w:r>
      <w:r w:rsidR="003C3AB6" w:rsidRPr="005C47CD">
        <w:t>curtail</w:t>
      </w:r>
      <w:r w:rsidR="008F56A8" w:rsidRPr="005C47CD">
        <w:t xml:space="preserve"> on </w:t>
      </w:r>
      <w:r w:rsidR="003C3AB6" w:rsidRPr="005C47CD">
        <w:t xml:space="preserve">the </w:t>
      </w:r>
      <w:r w:rsidR="00211A06" w:rsidRPr="005C47CD">
        <w:t>authorities</w:t>
      </w:r>
      <w:r w:rsidR="00E63C50" w:rsidRPr="005C47CD">
        <w:t>'</w:t>
      </w:r>
      <w:r w:rsidR="00211A06" w:rsidRPr="005C47CD">
        <w:t xml:space="preserve"> </w:t>
      </w:r>
      <w:r w:rsidR="00E63C50" w:rsidRPr="005C47CD">
        <w:t xml:space="preserve">ability to defend </w:t>
      </w:r>
      <w:r w:rsidR="00211A06" w:rsidRPr="005C47CD">
        <w:t xml:space="preserve">the public interest. </w:t>
      </w:r>
      <w:r w:rsidR="00E63C50" w:rsidRPr="005C47CD">
        <w:t>T</w:t>
      </w:r>
      <w:r w:rsidR="00211A06" w:rsidRPr="005C47CD">
        <w:t xml:space="preserve">he EESC </w:t>
      </w:r>
      <w:r w:rsidR="00E63C50" w:rsidRPr="005C47CD">
        <w:t xml:space="preserve">therefore suggests that </w:t>
      </w:r>
      <w:r w:rsidR="00211A06" w:rsidRPr="005C47CD">
        <w:t xml:space="preserve">the Commission </w:t>
      </w:r>
      <w:r w:rsidR="00E63C50" w:rsidRPr="005C47CD">
        <w:t>limit</w:t>
      </w:r>
      <w:r w:rsidR="00211A06" w:rsidRPr="005C47CD">
        <w:t xml:space="preserve"> </w:t>
      </w:r>
      <w:r w:rsidR="00E63C50" w:rsidRPr="005C47CD">
        <w:t xml:space="preserve">its action here </w:t>
      </w:r>
      <w:r w:rsidR="00211A06" w:rsidRPr="005C47CD">
        <w:t xml:space="preserve">to a reference to its guiding Communication </w:t>
      </w:r>
      <w:r w:rsidR="003C3AB6" w:rsidRPr="005C47CD">
        <w:t>confining</w:t>
      </w:r>
      <w:r w:rsidR="00211A06" w:rsidRPr="005C47CD">
        <w:t xml:space="preserve"> the scope of its assessment to checking the potential existence of manifest error, a matter </w:t>
      </w:r>
      <w:r w:rsidR="006F30F7" w:rsidRPr="005C47CD">
        <w:t xml:space="preserve">ultimately </w:t>
      </w:r>
      <w:r w:rsidR="00211A06" w:rsidRPr="005C47CD">
        <w:t xml:space="preserve">falling within the </w:t>
      </w:r>
      <w:r w:rsidR="008F56A8" w:rsidRPr="005C47CD">
        <w:t xml:space="preserve">remit </w:t>
      </w:r>
      <w:r w:rsidR="00211A06" w:rsidRPr="005C47CD">
        <w:t>of the Court of Justice.</w:t>
      </w:r>
    </w:p>
    <w:p w14:paraId="3496E3A2" w14:textId="77777777" w:rsidR="00211A06" w:rsidRPr="005C47CD" w:rsidRDefault="00211A06">
      <w:pPr>
        <w:overflowPunct/>
        <w:adjustRightInd/>
        <w:textAlignment w:val="auto"/>
      </w:pPr>
    </w:p>
    <w:p w14:paraId="1BA78EDA" w14:textId="06853B40" w:rsidR="00211A06" w:rsidRPr="005C47CD" w:rsidRDefault="00211A06">
      <w:pPr>
        <w:pStyle w:val="Heading2"/>
        <w:overflowPunct/>
        <w:adjustRightInd/>
        <w:ind w:left="567" w:hanging="567"/>
        <w:textAlignment w:val="auto"/>
      </w:pPr>
      <w:r w:rsidRPr="005C47CD">
        <w:t xml:space="preserve">Point 14 of the Framework unduly </w:t>
      </w:r>
      <w:r w:rsidR="008F56A8" w:rsidRPr="005C47CD">
        <w:t xml:space="preserve">places </w:t>
      </w:r>
      <w:r w:rsidRPr="005C47CD">
        <w:t xml:space="preserve">conditions </w:t>
      </w:r>
      <w:r w:rsidR="008F56A8" w:rsidRPr="005C47CD">
        <w:t xml:space="preserve">on </w:t>
      </w:r>
      <w:r w:rsidRPr="005C47CD">
        <w:t xml:space="preserve">the powers of </w:t>
      </w:r>
      <w:r w:rsidR="008F56A8" w:rsidRPr="005C47CD">
        <w:t xml:space="preserve">the </w:t>
      </w:r>
      <w:r w:rsidRPr="005C47CD">
        <w:t xml:space="preserve">Member States </w:t>
      </w:r>
      <w:r w:rsidR="008F56A8" w:rsidRPr="005C47CD">
        <w:t xml:space="preserve">to grant </w:t>
      </w:r>
      <w:r w:rsidRPr="005C47CD">
        <w:t xml:space="preserve">a remit by requiring </w:t>
      </w:r>
      <w:r w:rsidR="008F56A8" w:rsidRPr="005C47CD">
        <w:t xml:space="preserve">them </w:t>
      </w:r>
      <w:r w:rsidRPr="005C47CD">
        <w:t>to conduct public consultations to take into account the interests of users and providers, thus encroaching on national competencies that fall outside the Commission</w:t>
      </w:r>
      <w:r w:rsidR="008F56A8" w:rsidRPr="005C47CD">
        <w:t>'s</w:t>
      </w:r>
      <w:r w:rsidRPr="005C47CD">
        <w:t xml:space="preserve"> </w:t>
      </w:r>
      <w:r w:rsidR="008F56A8" w:rsidRPr="005C47CD">
        <w:t>purview</w:t>
      </w:r>
      <w:r w:rsidRPr="005C47CD">
        <w:t>. While authorities always pay due attention to stakeholders</w:t>
      </w:r>
      <w:r w:rsidR="008F56A8" w:rsidRPr="005C47CD">
        <w:t>'</w:t>
      </w:r>
      <w:r w:rsidRPr="005C47CD">
        <w:t xml:space="preserve"> interests, compelling them to justify the need </w:t>
      </w:r>
      <w:r w:rsidR="008F56A8" w:rsidRPr="005C47CD">
        <w:t xml:space="preserve">for </w:t>
      </w:r>
      <w:r w:rsidRPr="005C47CD">
        <w:t xml:space="preserve">a remit and to conduct public consultations, or </w:t>
      </w:r>
      <w:r w:rsidR="008F56A8" w:rsidRPr="005C47CD">
        <w:t xml:space="preserve">introducing </w:t>
      </w:r>
      <w:r w:rsidRPr="005C47CD">
        <w:t>alternative instruments, hardly fits with Treaty provisions and principles. The Commission</w:t>
      </w:r>
      <w:r w:rsidR="008F56A8" w:rsidRPr="005C47CD">
        <w:t>'s</w:t>
      </w:r>
      <w:r w:rsidRPr="005C47CD">
        <w:t xml:space="preserve"> practice shows </w:t>
      </w:r>
      <w:r w:rsidR="008F56A8" w:rsidRPr="005C47CD">
        <w:t>that it pays</w:t>
      </w:r>
      <w:r w:rsidRPr="005C47CD">
        <w:t xml:space="preserve"> limited attention to this rule</w:t>
      </w:r>
      <w:r w:rsidR="008F56A8" w:rsidRPr="005C47CD">
        <w:t>,</w:t>
      </w:r>
      <w:r w:rsidRPr="005C47CD">
        <w:t xml:space="preserve"> especially if the Member States face hurdles in enforcing it. </w:t>
      </w:r>
      <w:r w:rsidR="008F56A8" w:rsidRPr="005C47CD">
        <w:t>T</w:t>
      </w:r>
      <w:r w:rsidRPr="005C47CD">
        <w:t xml:space="preserve">he EESC </w:t>
      </w:r>
      <w:r w:rsidR="008F56A8" w:rsidRPr="005C47CD">
        <w:t xml:space="preserve">therefore proposes that </w:t>
      </w:r>
      <w:r w:rsidRPr="005C47CD">
        <w:t xml:space="preserve">the Commission redraft this point </w:t>
      </w:r>
      <w:r w:rsidR="008F56A8" w:rsidRPr="005C47CD">
        <w:t xml:space="preserve">so as to </w:t>
      </w:r>
      <w:r w:rsidRPr="005C47CD">
        <w:t xml:space="preserve">avoid mandatory requirements that </w:t>
      </w:r>
      <w:r w:rsidR="008F56A8" w:rsidRPr="005C47CD">
        <w:t xml:space="preserve">might </w:t>
      </w:r>
      <w:r w:rsidRPr="005C47CD">
        <w:t xml:space="preserve">encroach </w:t>
      </w:r>
      <w:r w:rsidR="008F56A8" w:rsidRPr="005C47CD">
        <w:t xml:space="preserve">on </w:t>
      </w:r>
      <w:r w:rsidRPr="005C47CD">
        <w:t>national law</w:t>
      </w:r>
      <w:r w:rsidR="006F30F7" w:rsidRPr="005C47CD">
        <w:t>-</w:t>
      </w:r>
      <w:r w:rsidRPr="005C47CD">
        <w:t xml:space="preserve">making procedures, </w:t>
      </w:r>
      <w:r w:rsidR="008F56A8" w:rsidRPr="005C47CD">
        <w:t xml:space="preserve">creating </w:t>
      </w:r>
      <w:r w:rsidRPr="005C47CD">
        <w:t>unwarranted problems.</w:t>
      </w:r>
    </w:p>
    <w:p w14:paraId="48FDEA08" w14:textId="77777777" w:rsidR="00211A06" w:rsidRPr="005C47CD" w:rsidRDefault="00211A06">
      <w:pPr>
        <w:overflowPunct/>
        <w:adjustRightInd/>
        <w:textAlignment w:val="auto"/>
      </w:pPr>
    </w:p>
    <w:p w14:paraId="3FA0731F" w14:textId="0A6A82D9" w:rsidR="00211A06" w:rsidRPr="005C47CD" w:rsidRDefault="0025387E">
      <w:pPr>
        <w:pStyle w:val="Heading2"/>
        <w:overflowPunct/>
        <w:adjustRightInd/>
        <w:ind w:left="567" w:hanging="567"/>
        <w:textAlignment w:val="auto"/>
      </w:pPr>
      <w:r w:rsidRPr="005C47CD">
        <w:t>The requirement under point 19 of the Framework that entrustments comply with Union public procurement rules fails to take into account that secondary law in this field has experienced a thorough review following the 2014 procurement package</w:t>
      </w:r>
      <w:r w:rsidR="006D04D8" w:rsidRPr="005C47CD">
        <w:t>.</w:t>
      </w:r>
      <w:r w:rsidRPr="005C47CD">
        <w:t xml:space="preserve"> </w:t>
      </w:r>
      <w:r w:rsidR="00211A06" w:rsidRPr="005C47CD">
        <w:t xml:space="preserve">The </w:t>
      </w:r>
      <w:r w:rsidR="002F65D1" w:rsidRPr="005C47CD">
        <w:t xml:space="preserve">Public </w:t>
      </w:r>
      <w:r w:rsidR="00211A06" w:rsidRPr="005C47CD">
        <w:t xml:space="preserve">Procurement Directive only applies, according to </w:t>
      </w:r>
      <w:r w:rsidR="002F65D1" w:rsidRPr="005C47CD">
        <w:t xml:space="preserve">its </w:t>
      </w:r>
      <w:r w:rsidR="00211A06" w:rsidRPr="005C47CD">
        <w:t>Article</w:t>
      </w:r>
      <w:r w:rsidR="00A8380E" w:rsidRPr="005C47CD">
        <w:t> </w:t>
      </w:r>
      <w:r w:rsidR="00211A06" w:rsidRPr="005C47CD">
        <w:t>1(2)</w:t>
      </w:r>
      <w:r w:rsidR="002F65D1" w:rsidRPr="005C47CD">
        <w:t>,</w:t>
      </w:r>
      <w:r w:rsidR="00211A06" w:rsidRPr="005C47CD">
        <w:t xml:space="preserve"> to acquisitions by </w:t>
      </w:r>
      <w:r w:rsidR="0035339C" w:rsidRPr="005C47CD">
        <w:t>contracting</w:t>
      </w:r>
      <w:r w:rsidR="00211A06" w:rsidRPr="005C47CD">
        <w:t xml:space="preserve"> authorities and cannot </w:t>
      </w:r>
      <w:r w:rsidR="000A3C90" w:rsidRPr="005C47CD">
        <w:t>impose a binding regime</w:t>
      </w:r>
      <w:r w:rsidR="00211A06" w:rsidRPr="005C47CD">
        <w:t xml:space="preserve"> on SGEIs</w:t>
      </w:r>
      <w:r w:rsidR="006F30F7" w:rsidRPr="005C47CD">
        <w:t xml:space="preserve"> as they refer to </w:t>
      </w:r>
      <w:r w:rsidR="00211A06" w:rsidRPr="005C47CD">
        <w:t xml:space="preserve">tasks performed by an undertaking on behalf of </w:t>
      </w:r>
      <w:r w:rsidR="006F30F7" w:rsidRPr="005C47CD">
        <w:t>the</w:t>
      </w:r>
      <w:r w:rsidR="00211A06" w:rsidRPr="005C47CD">
        <w:t xml:space="preserve"> authority. Thus</w:t>
      </w:r>
      <w:r w:rsidR="006F30F7" w:rsidRPr="005C47CD">
        <w:t>,</w:t>
      </w:r>
      <w:r w:rsidR="00211A06" w:rsidRPr="005C47CD">
        <w:t xml:space="preserve"> any requirement </w:t>
      </w:r>
      <w:r w:rsidR="008430F4" w:rsidRPr="005C47CD">
        <w:t xml:space="preserve">under procurement law </w:t>
      </w:r>
      <w:r w:rsidR="00211A06" w:rsidRPr="005C47CD">
        <w:t xml:space="preserve">would </w:t>
      </w:r>
      <w:r w:rsidR="006F30F7" w:rsidRPr="005C47CD">
        <w:t xml:space="preserve">run </w:t>
      </w:r>
      <w:r w:rsidR="00211A06" w:rsidRPr="005C47CD">
        <w:t xml:space="preserve">contrary to its governing </w:t>
      </w:r>
      <w:r w:rsidR="008430F4" w:rsidRPr="005C47CD">
        <w:t>directive</w:t>
      </w:r>
      <w:r w:rsidR="00211A06" w:rsidRPr="005C47CD">
        <w:t xml:space="preserve">. The 2014 </w:t>
      </w:r>
      <w:r w:rsidR="008430F4" w:rsidRPr="005C47CD">
        <w:t xml:space="preserve">procurement </w:t>
      </w:r>
      <w:r w:rsidR="00211A06" w:rsidRPr="005C47CD">
        <w:t xml:space="preserve">package also rules concessions for the first time. But </w:t>
      </w:r>
      <w:r w:rsidR="008430F4" w:rsidRPr="005C47CD">
        <w:t xml:space="preserve">it would be highly misleading to infer </w:t>
      </w:r>
      <w:r w:rsidR="000A3C90" w:rsidRPr="005C47CD">
        <w:t xml:space="preserve">that </w:t>
      </w:r>
      <w:r w:rsidR="00211A06" w:rsidRPr="005C47CD">
        <w:t xml:space="preserve">SGEIs could </w:t>
      </w:r>
      <w:r w:rsidR="00A8380E" w:rsidRPr="005C47CD">
        <w:t xml:space="preserve">fall </w:t>
      </w:r>
      <w:r w:rsidR="00211A06" w:rsidRPr="005C47CD">
        <w:t xml:space="preserve">under this </w:t>
      </w:r>
      <w:r w:rsidR="000A3C90" w:rsidRPr="005C47CD">
        <w:t>regime:</w:t>
      </w:r>
      <w:r w:rsidR="00211A06" w:rsidRPr="005C47CD">
        <w:t xml:space="preserve"> </w:t>
      </w:r>
      <w:r w:rsidR="000A3C90" w:rsidRPr="005C47CD">
        <w:t>c</w:t>
      </w:r>
      <w:r w:rsidR="00211A06" w:rsidRPr="005C47CD">
        <w:t xml:space="preserve">oncessions imply that undertakings </w:t>
      </w:r>
      <w:r w:rsidR="008430F4" w:rsidRPr="005C47CD">
        <w:t xml:space="preserve">assume </w:t>
      </w:r>
      <w:r w:rsidR="00211A06" w:rsidRPr="005C47CD">
        <w:t xml:space="preserve">all the risk once the award </w:t>
      </w:r>
      <w:r w:rsidR="008430F4" w:rsidRPr="005C47CD">
        <w:t>has been granted</w:t>
      </w:r>
      <w:r w:rsidR="000A3C90" w:rsidRPr="005C47CD">
        <w:t>,</w:t>
      </w:r>
      <w:r w:rsidR="00211A06" w:rsidRPr="005C47CD">
        <w:t xml:space="preserve"> in sharp contrast with </w:t>
      </w:r>
      <w:r w:rsidR="00211A06" w:rsidRPr="005C47CD">
        <w:lastRenderedPageBreak/>
        <w:t>SGEIs</w:t>
      </w:r>
      <w:r w:rsidR="000A3C90" w:rsidRPr="005C47CD">
        <w:t>,</w:t>
      </w:r>
      <w:r w:rsidR="00211A06" w:rsidRPr="005C47CD">
        <w:t xml:space="preserve"> where the authorities cover the extra costs involved in running the service, thus minimising risk. Only where the authority chooses to </w:t>
      </w:r>
      <w:r w:rsidR="008430F4" w:rsidRPr="005C47CD">
        <w:t>apply</w:t>
      </w:r>
      <w:r w:rsidR="00211A06" w:rsidRPr="005C47CD">
        <w:t xml:space="preserve"> concessional treatment</w:t>
      </w:r>
      <w:r w:rsidR="008430F4" w:rsidRPr="005C47CD">
        <w:t xml:space="preserve"> to an SGEI would</w:t>
      </w:r>
      <w:r w:rsidR="00211A06" w:rsidRPr="005C47CD">
        <w:t xml:space="preserve"> this </w:t>
      </w:r>
      <w:r w:rsidR="000A3C90" w:rsidRPr="005C47CD">
        <w:t xml:space="preserve">regime </w:t>
      </w:r>
      <w:r w:rsidR="00211A06" w:rsidRPr="005C47CD">
        <w:t>would apply</w:t>
      </w:r>
      <w:r w:rsidR="006F30F7" w:rsidRPr="005C47CD">
        <w:t>, but in these cases</w:t>
      </w:r>
      <w:r w:rsidR="00211A06" w:rsidRPr="005C47CD">
        <w:t xml:space="preserve"> </w:t>
      </w:r>
      <w:r w:rsidR="008430F4" w:rsidRPr="005C47CD">
        <w:t xml:space="preserve">there would be </w:t>
      </w:r>
      <w:r w:rsidR="00211A06" w:rsidRPr="005C47CD">
        <w:t>no aid element</w:t>
      </w:r>
      <w:r w:rsidR="00605F8D" w:rsidRPr="005C47CD">
        <w:t>,</w:t>
      </w:r>
      <w:r w:rsidR="00211A06" w:rsidRPr="005C47CD">
        <w:t xml:space="preserve"> </w:t>
      </w:r>
      <w:r w:rsidR="006F30F7" w:rsidRPr="005C47CD">
        <w:t xml:space="preserve">as </w:t>
      </w:r>
      <w:r w:rsidR="008430F4" w:rsidRPr="005C47CD">
        <w:t xml:space="preserve">the designated provider would bear </w:t>
      </w:r>
      <w:r w:rsidR="0035339C" w:rsidRPr="005C47CD">
        <w:t>all</w:t>
      </w:r>
      <w:r w:rsidR="008430F4" w:rsidRPr="005C47CD">
        <w:t xml:space="preserve"> risk</w:t>
      </w:r>
      <w:r w:rsidR="00211A06" w:rsidRPr="005C47CD">
        <w:t>. Thus</w:t>
      </w:r>
      <w:r w:rsidR="006F30F7" w:rsidRPr="005C47CD">
        <w:t>,</w:t>
      </w:r>
      <w:r w:rsidR="00211A06" w:rsidRPr="005C47CD">
        <w:t xml:space="preserve"> neither procurement nor concessional </w:t>
      </w:r>
      <w:r w:rsidR="008430F4" w:rsidRPr="005C47CD">
        <w:t xml:space="preserve">rules </w:t>
      </w:r>
      <w:r w:rsidR="00211A06" w:rsidRPr="005C47CD">
        <w:t xml:space="preserve">would apply to SGEIs. </w:t>
      </w:r>
      <w:r w:rsidR="008430F4" w:rsidRPr="005C47CD">
        <w:t>Legally speaking</w:t>
      </w:r>
      <w:r w:rsidR="00211A06" w:rsidRPr="005C47CD">
        <w:t xml:space="preserve">, the Framework can only call on the Member States to implement, where applicable, the principles of transparency and equal treatment for selecting providers, </w:t>
      </w:r>
      <w:r w:rsidR="008430F4" w:rsidRPr="005C47CD">
        <w:t xml:space="preserve">in particular </w:t>
      </w:r>
      <w:r w:rsidR="00211A06" w:rsidRPr="005C47CD">
        <w:t>private ones</w:t>
      </w:r>
      <w:r w:rsidR="00E07356" w:rsidRPr="005C47CD">
        <w:t xml:space="preserve">, </w:t>
      </w:r>
      <w:r w:rsidR="006F30F7" w:rsidRPr="005C47CD">
        <w:t>with</w:t>
      </w:r>
      <w:r w:rsidR="00211A06" w:rsidRPr="005C47CD">
        <w:t xml:space="preserve"> no binding obligation </w:t>
      </w:r>
      <w:r w:rsidR="006F30F7" w:rsidRPr="005C47CD">
        <w:t>being</w:t>
      </w:r>
      <w:r w:rsidR="00211A06" w:rsidRPr="005C47CD">
        <w:t xml:space="preserve"> attached to this </w:t>
      </w:r>
      <w:r w:rsidR="008430F4" w:rsidRPr="005C47CD">
        <w:t>request</w:t>
      </w:r>
      <w:r w:rsidR="00211A06" w:rsidRPr="005C47CD">
        <w:t xml:space="preserve">. </w:t>
      </w:r>
      <w:r w:rsidR="008430F4" w:rsidRPr="005C47CD">
        <w:t>T</w:t>
      </w:r>
      <w:r w:rsidR="00211A06" w:rsidRPr="005C47CD">
        <w:t xml:space="preserve">he EESC </w:t>
      </w:r>
      <w:r w:rsidR="008430F4" w:rsidRPr="005C47CD">
        <w:t xml:space="preserve">therefore asks </w:t>
      </w:r>
      <w:r w:rsidR="00211A06" w:rsidRPr="005C47CD">
        <w:t xml:space="preserve">the Commission to revise point 19 of the Framework </w:t>
      </w:r>
      <w:r w:rsidR="008430F4" w:rsidRPr="005C47CD">
        <w:t xml:space="preserve">to take </w:t>
      </w:r>
      <w:r w:rsidR="00211A06" w:rsidRPr="005C47CD">
        <w:t>due account of the new legal requirements as regards procurement and concessions.</w:t>
      </w:r>
    </w:p>
    <w:p w14:paraId="429FEA3D" w14:textId="77777777" w:rsidR="00211A06" w:rsidRPr="005C47CD" w:rsidRDefault="00211A06">
      <w:pPr>
        <w:overflowPunct/>
        <w:adjustRightInd/>
        <w:textAlignment w:val="auto"/>
      </w:pPr>
    </w:p>
    <w:p w14:paraId="0BE9F55D" w14:textId="0415DB7A" w:rsidR="00211A06" w:rsidRPr="005C47CD" w:rsidRDefault="00211A06">
      <w:pPr>
        <w:pStyle w:val="Heading2"/>
        <w:overflowPunct/>
        <w:adjustRightInd/>
        <w:ind w:left="567" w:hanging="567"/>
        <w:textAlignment w:val="auto"/>
      </w:pPr>
      <w:r w:rsidRPr="005C47CD">
        <w:t xml:space="preserve">While </w:t>
      </w:r>
      <w:r w:rsidR="008430F4" w:rsidRPr="005C47CD">
        <w:t xml:space="preserve">point 22 of </w:t>
      </w:r>
      <w:r w:rsidRPr="005C47CD">
        <w:t xml:space="preserve">the Framework </w:t>
      </w:r>
      <w:r w:rsidR="008430F4" w:rsidRPr="005C47CD">
        <w:t xml:space="preserve">provides </w:t>
      </w:r>
      <w:r w:rsidRPr="005C47CD">
        <w:t xml:space="preserve">that the compensation can </w:t>
      </w:r>
      <w:r w:rsidR="00F3128F" w:rsidRPr="005C47CD">
        <w:t xml:space="preserve">be based </w:t>
      </w:r>
      <w:r w:rsidRPr="005C47CD">
        <w:t xml:space="preserve">either on expected or </w:t>
      </w:r>
      <w:r w:rsidR="00F3128F" w:rsidRPr="005C47CD">
        <w:t xml:space="preserve">on </w:t>
      </w:r>
      <w:r w:rsidRPr="005C47CD">
        <w:t>actually incurred costs and revenues, all too frequently Commission practice requires establi</w:t>
      </w:r>
      <w:r w:rsidR="009F134F" w:rsidRPr="005C47CD">
        <w:t xml:space="preserve">shing the compensatory amounts </w:t>
      </w:r>
      <w:r w:rsidRPr="005C47CD">
        <w:rPr>
          <w:i/>
        </w:rPr>
        <w:t>ex</w:t>
      </w:r>
      <w:r w:rsidR="00F3128F" w:rsidRPr="005C47CD">
        <w:rPr>
          <w:i/>
        </w:rPr>
        <w:t xml:space="preserve"> </w:t>
      </w:r>
      <w:r w:rsidRPr="005C47CD">
        <w:rPr>
          <w:i/>
        </w:rPr>
        <w:t>ante</w:t>
      </w:r>
      <w:r w:rsidRPr="005C47CD">
        <w:t>. Such a calculation method</w:t>
      </w:r>
      <w:r w:rsidR="00F3128F" w:rsidRPr="005C47CD">
        <w:t>, which</w:t>
      </w:r>
      <w:r w:rsidRPr="005C47CD">
        <w:t xml:space="preserve"> prevent</w:t>
      </w:r>
      <w:r w:rsidR="00F3128F" w:rsidRPr="005C47CD">
        <w:t>s</w:t>
      </w:r>
      <w:r w:rsidRPr="005C47CD">
        <w:t xml:space="preserve"> authorities from compensating</w:t>
      </w:r>
      <w:r w:rsidR="009F134F" w:rsidRPr="005C47CD">
        <w:t xml:space="preserve"> </w:t>
      </w:r>
      <w:r w:rsidRPr="005C47CD">
        <w:rPr>
          <w:i/>
        </w:rPr>
        <w:t>ex</w:t>
      </w:r>
      <w:r w:rsidR="00F3128F" w:rsidRPr="005C47CD">
        <w:rPr>
          <w:i/>
        </w:rPr>
        <w:t xml:space="preserve"> </w:t>
      </w:r>
      <w:r w:rsidRPr="005C47CD">
        <w:rPr>
          <w:i/>
        </w:rPr>
        <w:t>post</w:t>
      </w:r>
      <w:r w:rsidRPr="005C47CD">
        <w:t xml:space="preserve"> according to the effective net cost, seems an undue interference that </w:t>
      </w:r>
      <w:r w:rsidR="00F3128F" w:rsidRPr="005C47CD">
        <w:t xml:space="preserve">could lead </w:t>
      </w:r>
      <w:r w:rsidRPr="005C47CD">
        <w:t>to unsolvable problems</w:t>
      </w:r>
      <w:r w:rsidR="00F3128F" w:rsidRPr="005C47CD">
        <w:t xml:space="preserve">, </w:t>
      </w:r>
      <w:r w:rsidR="00A8380E" w:rsidRPr="005C47CD">
        <w:t xml:space="preserve">since </w:t>
      </w:r>
      <w:r w:rsidR="00F3128F" w:rsidRPr="005C47CD">
        <w:t xml:space="preserve">if </w:t>
      </w:r>
      <w:r w:rsidRPr="005C47CD">
        <w:t xml:space="preserve">the </w:t>
      </w:r>
      <w:r w:rsidRPr="005C47CD">
        <w:rPr>
          <w:i/>
        </w:rPr>
        <w:t>ex</w:t>
      </w:r>
      <w:r w:rsidR="00F3128F" w:rsidRPr="005C47CD">
        <w:rPr>
          <w:i/>
        </w:rPr>
        <w:t>-</w:t>
      </w:r>
      <w:r w:rsidRPr="005C47CD">
        <w:rPr>
          <w:i/>
        </w:rPr>
        <w:t>ante</w:t>
      </w:r>
      <w:r w:rsidRPr="005C47CD">
        <w:t xml:space="preserve"> amounts fail to cover the net cost, the provider would face systematic underfunding. Moreover, </w:t>
      </w:r>
      <w:r w:rsidR="00F3128F" w:rsidRPr="005C47CD">
        <w:t xml:space="preserve">if </w:t>
      </w:r>
      <w:r w:rsidRPr="005C47CD">
        <w:t>the authority provid</w:t>
      </w:r>
      <w:r w:rsidR="00F3128F" w:rsidRPr="005C47CD">
        <w:t>es</w:t>
      </w:r>
      <w:r w:rsidRPr="005C47CD">
        <w:t xml:space="preserve"> additional support </w:t>
      </w:r>
      <w:r w:rsidR="00F3128F" w:rsidRPr="005C47CD">
        <w:t xml:space="preserve">to </w:t>
      </w:r>
      <w:r w:rsidRPr="005C47CD">
        <w:t>bridg</w:t>
      </w:r>
      <w:r w:rsidR="00F3128F" w:rsidRPr="005C47CD">
        <w:t>e</w:t>
      </w:r>
      <w:r w:rsidRPr="005C47CD">
        <w:t xml:space="preserve"> this gap, it would in principle</w:t>
      </w:r>
      <w:r w:rsidR="00F3128F" w:rsidRPr="005C47CD">
        <w:t xml:space="preserve"> face</w:t>
      </w:r>
      <w:r w:rsidRPr="005C47CD">
        <w:t xml:space="preserve"> potential </w:t>
      </w:r>
      <w:r w:rsidR="00F3128F" w:rsidRPr="005C47CD">
        <w:t xml:space="preserve">penalties </w:t>
      </w:r>
      <w:r w:rsidRPr="005C47CD">
        <w:t xml:space="preserve">for breaching the conditions set in the authorising decision. Commission practice </w:t>
      </w:r>
      <w:r w:rsidR="00F3128F" w:rsidRPr="005C47CD">
        <w:t xml:space="preserve">has </w:t>
      </w:r>
      <w:r w:rsidRPr="005C47CD">
        <w:t>largely overlook</w:t>
      </w:r>
      <w:r w:rsidR="00F3128F" w:rsidRPr="005C47CD">
        <w:t>ed</w:t>
      </w:r>
      <w:r w:rsidRPr="005C47CD">
        <w:t xml:space="preserve"> </w:t>
      </w:r>
      <w:r w:rsidR="00CE579C" w:rsidRPr="005C47CD">
        <w:t xml:space="preserve">this inconsistency </w:t>
      </w:r>
      <w:r w:rsidR="00F3128F" w:rsidRPr="005C47CD">
        <w:t xml:space="preserve">except in </w:t>
      </w:r>
      <w:r w:rsidRPr="005C47CD">
        <w:t xml:space="preserve">cases when a claimant </w:t>
      </w:r>
      <w:r w:rsidR="00F3128F" w:rsidRPr="005C47CD">
        <w:t xml:space="preserve">has </w:t>
      </w:r>
      <w:r w:rsidRPr="005C47CD">
        <w:t>raise</w:t>
      </w:r>
      <w:r w:rsidR="00F3128F" w:rsidRPr="005C47CD">
        <w:t>d</w:t>
      </w:r>
      <w:r w:rsidRPr="005C47CD">
        <w:t xml:space="preserve"> the issue. While it seems appropriate to set </w:t>
      </w:r>
      <w:r w:rsidRPr="005C47CD">
        <w:rPr>
          <w:i/>
        </w:rPr>
        <w:t>ex</w:t>
      </w:r>
      <w:r w:rsidR="00F3128F" w:rsidRPr="005C47CD">
        <w:rPr>
          <w:i/>
        </w:rPr>
        <w:t xml:space="preserve"> </w:t>
      </w:r>
      <w:r w:rsidRPr="005C47CD">
        <w:rPr>
          <w:i/>
        </w:rPr>
        <w:t>ante</w:t>
      </w:r>
      <w:r w:rsidRPr="005C47CD">
        <w:t xml:space="preserve"> the methodology for calculating </w:t>
      </w:r>
      <w:r w:rsidR="0035339C" w:rsidRPr="005C47CD">
        <w:t xml:space="preserve">the </w:t>
      </w:r>
      <w:r w:rsidRPr="005C47CD">
        <w:t>compensation, the ensuing</w:t>
      </w:r>
      <w:r w:rsidR="00F3128F" w:rsidRPr="005C47CD">
        <w:t>,</w:t>
      </w:r>
      <w:r w:rsidRPr="005C47CD">
        <w:t xml:space="preserve"> tentative amounts should not have any binding character. Only once the yearly results are available</w:t>
      </w:r>
      <w:r w:rsidR="00F3128F" w:rsidRPr="005C47CD">
        <w:t xml:space="preserve"> can</w:t>
      </w:r>
      <w:r w:rsidRPr="005C47CD">
        <w:t xml:space="preserve"> calculation of the net cost and corresponding compensation take place. </w:t>
      </w:r>
      <w:r w:rsidR="00F3128F" w:rsidRPr="005C47CD">
        <w:t>T</w:t>
      </w:r>
      <w:r w:rsidRPr="005C47CD">
        <w:t xml:space="preserve">he EESC </w:t>
      </w:r>
      <w:r w:rsidR="00F3128F" w:rsidRPr="005C47CD">
        <w:t xml:space="preserve">therefore calls on </w:t>
      </w:r>
      <w:r w:rsidRPr="005C47CD">
        <w:t xml:space="preserve">the Commission to ensure full consistency </w:t>
      </w:r>
      <w:r w:rsidR="00F3128F" w:rsidRPr="005C47CD">
        <w:t xml:space="preserve">and compliance with the second </w:t>
      </w:r>
      <w:proofErr w:type="spellStart"/>
      <w:r w:rsidR="00F3128F" w:rsidRPr="005C47CD">
        <w:t>Altmark</w:t>
      </w:r>
      <w:proofErr w:type="spellEnd"/>
      <w:r w:rsidR="00F3128F" w:rsidRPr="005C47CD">
        <w:t xml:space="preserve"> criterion </w:t>
      </w:r>
      <w:r w:rsidRPr="005C47CD">
        <w:t xml:space="preserve">by coupling </w:t>
      </w:r>
      <w:r w:rsidRPr="005C47CD">
        <w:rPr>
          <w:i/>
        </w:rPr>
        <w:t>ex-ante</w:t>
      </w:r>
      <w:r w:rsidRPr="005C47CD">
        <w:t xml:space="preserve"> methodology with full use of </w:t>
      </w:r>
      <w:r w:rsidRPr="005C47CD">
        <w:rPr>
          <w:i/>
        </w:rPr>
        <w:t>ex-post</w:t>
      </w:r>
      <w:r w:rsidRPr="005C47CD">
        <w:t xml:space="preserve"> net cost calculation, unless the authority prefers to set the compensation at the time of entrustment.</w:t>
      </w:r>
    </w:p>
    <w:p w14:paraId="060A710C" w14:textId="77777777" w:rsidR="00211A06" w:rsidRPr="005C47CD" w:rsidRDefault="00211A06">
      <w:pPr>
        <w:overflowPunct/>
        <w:adjustRightInd/>
        <w:textAlignment w:val="auto"/>
      </w:pPr>
    </w:p>
    <w:p w14:paraId="599F839E" w14:textId="33F8F9C5" w:rsidR="00211A06" w:rsidRPr="005C47CD" w:rsidRDefault="00211A06">
      <w:pPr>
        <w:pStyle w:val="Heading2"/>
        <w:overflowPunct/>
        <w:adjustRightInd/>
        <w:ind w:left="567" w:hanging="567"/>
        <w:textAlignment w:val="auto"/>
      </w:pPr>
      <w:r w:rsidRPr="005C47CD">
        <w:t xml:space="preserve">The Net Avoided Cost method for calculating </w:t>
      </w:r>
      <w:r w:rsidR="0035339C" w:rsidRPr="005C47CD">
        <w:t xml:space="preserve">the </w:t>
      </w:r>
      <w:r w:rsidRPr="005C47CD">
        <w:t xml:space="preserve">compensation </w:t>
      </w:r>
      <w:r w:rsidR="0042235E" w:rsidRPr="005C47CD">
        <w:t xml:space="preserve">is based </w:t>
      </w:r>
      <w:r w:rsidRPr="005C47CD">
        <w:t xml:space="preserve">on the assumption that in the absence of </w:t>
      </w:r>
      <w:r w:rsidR="0042235E" w:rsidRPr="005C47CD">
        <w:t xml:space="preserve">a </w:t>
      </w:r>
      <w:r w:rsidRPr="005C47CD">
        <w:t xml:space="preserve">public service obligation the designated provider would downgrade its activities </w:t>
      </w:r>
      <w:r w:rsidR="0042235E" w:rsidRPr="005C47CD">
        <w:t xml:space="preserve">and </w:t>
      </w:r>
      <w:r w:rsidRPr="005C47CD">
        <w:t xml:space="preserve">aim to maximise </w:t>
      </w:r>
      <w:r w:rsidR="0042235E" w:rsidRPr="005C47CD">
        <w:t>revenues</w:t>
      </w:r>
      <w:r w:rsidRPr="005C47CD">
        <w:t xml:space="preserve">. The conventional NAC method </w:t>
      </w:r>
      <w:r w:rsidR="0042235E" w:rsidRPr="005C47CD">
        <w:t>would mean</w:t>
      </w:r>
      <w:r w:rsidRPr="005C47CD">
        <w:t xml:space="preserve"> the provider discontinu</w:t>
      </w:r>
      <w:r w:rsidR="0042235E" w:rsidRPr="005C47CD">
        <w:t>ing</w:t>
      </w:r>
      <w:r w:rsidRPr="005C47CD">
        <w:t xml:space="preserve"> all loss-making activities. The difference between this </w:t>
      </w:r>
      <w:r w:rsidR="00A8380E" w:rsidRPr="005C47CD">
        <w:t xml:space="preserve">counterfactual </w:t>
      </w:r>
      <w:r w:rsidR="0042235E" w:rsidRPr="005C47CD">
        <w:t xml:space="preserve">scenario </w:t>
      </w:r>
      <w:r w:rsidRPr="005C47CD">
        <w:t>and the actual results of the service provider determines the amount of the compensation. The Commission has recently advocated the Profitability Cost (PC) approach</w:t>
      </w:r>
      <w:r w:rsidR="0042235E" w:rsidRPr="005C47CD">
        <w:t>,</w:t>
      </w:r>
      <w:r w:rsidRPr="005C47CD">
        <w:t xml:space="preserve"> where the counterfactual </w:t>
      </w:r>
      <w:r w:rsidR="0042235E" w:rsidRPr="005C47CD">
        <w:t xml:space="preserve">would </w:t>
      </w:r>
      <w:r w:rsidR="00A8380E" w:rsidRPr="005C47CD">
        <w:t>be</w:t>
      </w:r>
      <w:r w:rsidR="0042235E" w:rsidRPr="005C47CD">
        <w:t xml:space="preserve"> </w:t>
      </w:r>
      <w:r w:rsidRPr="005C47CD">
        <w:t>discontinu</w:t>
      </w:r>
      <w:r w:rsidR="00A8380E" w:rsidRPr="005C47CD">
        <w:t>ation of</w:t>
      </w:r>
      <w:r w:rsidRPr="005C47CD">
        <w:t xml:space="preserve"> activities that prevent the undertaking from maximising its results. </w:t>
      </w:r>
      <w:r w:rsidR="0035339C" w:rsidRPr="005C47CD">
        <w:t>The c</w:t>
      </w:r>
      <w:r w:rsidRPr="005C47CD">
        <w:t xml:space="preserve">ompensation </w:t>
      </w:r>
      <w:r w:rsidR="0042235E" w:rsidRPr="005C47CD">
        <w:t xml:space="preserve">thus </w:t>
      </w:r>
      <w:r w:rsidRPr="005C47CD">
        <w:t xml:space="preserve">covers not only the </w:t>
      </w:r>
      <w:r w:rsidR="0042235E" w:rsidRPr="005C47CD">
        <w:t xml:space="preserve">additional </w:t>
      </w:r>
      <w:r w:rsidRPr="005C47CD">
        <w:t xml:space="preserve">costs of the SGEI but also the less </w:t>
      </w:r>
      <w:r w:rsidR="000C7259" w:rsidRPr="005C47CD">
        <w:t>efficient</w:t>
      </w:r>
      <w:r w:rsidR="0042235E" w:rsidRPr="005C47CD">
        <w:t xml:space="preserve"> </w:t>
      </w:r>
      <w:r w:rsidRPr="005C47CD">
        <w:t>activities</w:t>
      </w:r>
      <w:r w:rsidR="0042235E" w:rsidRPr="005C47CD">
        <w:t>,</w:t>
      </w:r>
      <w:r w:rsidRPr="005C47CD">
        <w:t xml:space="preserve"> even if they are profitable. To trim compensatory </w:t>
      </w:r>
      <w:r w:rsidR="000C7259" w:rsidRPr="005C47CD">
        <w:t xml:space="preserve">payments, </w:t>
      </w:r>
      <w:r w:rsidRPr="005C47CD">
        <w:t xml:space="preserve">the Commission requires the market and non-material advantages </w:t>
      </w:r>
      <w:r w:rsidR="000C7259" w:rsidRPr="005C47CD">
        <w:t xml:space="preserve">enjoyed by </w:t>
      </w:r>
      <w:r w:rsidRPr="005C47CD">
        <w:t xml:space="preserve">the provider </w:t>
      </w:r>
      <w:r w:rsidR="00A8380E" w:rsidRPr="005C47CD">
        <w:t xml:space="preserve">to </w:t>
      </w:r>
      <w:r w:rsidR="000C7259" w:rsidRPr="005C47CD">
        <w:t>be deducted from the compensation</w:t>
      </w:r>
      <w:r w:rsidRPr="005C47CD">
        <w:t xml:space="preserve">. The preference </w:t>
      </w:r>
      <w:r w:rsidR="000C7259" w:rsidRPr="005C47CD">
        <w:t xml:space="preserve">for </w:t>
      </w:r>
      <w:r w:rsidRPr="005C47CD">
        <w:t xml:space="preserve">the PC approach leads to </w:t>
      </w:r>
      <w:r w:rsidR="000C7259" w:rsidRPr="005C47CD">
        <w:rPr>
          <w:i/>
        </w:rPr>
        <w:t xml:space="preserve">de facto </w:t>
      </w:r>
      <w:r w:rsidRPr="005C47CD">
        <w:t>divergences in implementing a single principle</w:t>
      </w:r>
      <w:r w:rsidR="000C7259" w:rsidRPr="005C47CD">
        <w:t>,</w:t>
      </w:r>
      <w:r w:rsidRPr="005C47CD">
        <w:t xml:space="preserve"> thus </w:t>
      </w:r>
      <w:r w:rsidR="000C7259" w:rsidRPr="005C47CD">
        <w:t xml:space="preserve">compromising </w:t>
      </w:r>
      <w:r w:rsidRPr="005C47CD">
        <w:t xml:space="preserve">legal certainty. The EESC </w:t>
      </w:r>
      <w:r w:rsidR="000C7259" w:rsidRPr="005C47CD">
        <w:t xml:space="preserve">recommends that </w:t>
      </w:r>
      <w:r w:rsidRPr="005C47CD">
        <w:t xml:space="preserve">the Commission endorse both approaches </w:t>
      </w:r>
      <w:r w:rsidR="00B51F97" w:rsidRPr="005C47CD">
        <w:t xml:space="preserve">and </w:t>
      </w:r>
      <w:r w:rsidRPr="005C47CD">
        <w:t>provid</w:t>
      </w:r>
      <w:r w:rsidR="00B51F97" w:rsidRPr="005C47CD">
        <w:t>e</w:t>
      </w:r>
      <w:r w:rsidRPr="005C47CD">
        <w:t xml:space="preserve"> further guidance on them in the Framework</w:t>
      </w:r>
      <w:r w:rsidR="00B51F97" w:rsidRPr="005C47CD">
        <w:t>,</w:t>
      </w:r>
      <w:r w:rsidRPr="005C47CD">
        <w:t xml:space="preserve"> </w:t>
      </w:r>
      <w:r w:rsidR="00B51F97" w:rsidRPr="005C47CD">
        <w:t xml:space="preserve">which </w:t>
      </w:r>
      <w:r w:rsidRPr="005C47CD">
        <w:t xml:space="preserve">currently contains </w:t>
      </w:r>
      <w:r w:rsidR="00B51F97" w:rsidRPr="005C47CD">
        <w:t xml:space="preserve">hardly any </w:t>
      </w:r>
      <w:r w:rsidR="00DB0A1B" w:rsidRPr="005C47CD">
        <w:t xml:space="preserve">indication </w:t>
      </w:r>
      <w:r w:rsidRPr="005C47CD">
        <w:t>o</w:t>
      </w:r>
      <w:r w:rsidR="00DB0A1B" w:rsidRPr="005C47CD">
        <w:t>f</w:t>
      </w:r>
      <w:r w:rsidRPr="005C47CD">
        <w:t xml:space="preserve"> how to </w:t>
      </w:r>
      <w:r w:rsidR="00B51F97" w:rsidRPr="005C47CD">
        <w:t xml:space="preserve">establish </w:t>
      </w:r>
      <w:r w:rsidRPr="005C47CD">
        <w:t xml:space="preserve">the </w:t>
      </w:r>
      <w:r w:rsidR="00B51F97" w:rsidRPr="005C47CD">
        <w:t xml:space="preserve">relevant </w:t>
      </w:r>
      <w:r w:rsidRPr="005C47CD">
        <w:t>counterfactuals.</w:t>
      </w:r>
    </w:p>
    <w:p w14:paraId="2F578A14" w14:textId="77777777" w:rsidR="00211A06" w:rsidRPr="005C47CD" w:rsidRDefault="00211A06">
      <w:pPr>
        <w:overflowPunct/>
        <w:adjustRightInd/>
        <w:textAlignment w:val="auto"/>
      </w:pPr>
    </w:p>
    <w:p w14:paraId="4C58DE7B" w14:textId="7192B8AE" w:rsidR="00211A06" w:rsidRPr="005C47CD" w:rsidRDefault="00211A06">
      <w:pPr>
        <w:pStyle w:val="Heading2"/>
        <w:overflowPunct/>
        <w:adjustRightInd/>
        <w:ind w:left="567" w:hanging="567"/>
        <w:textAlignment w:val="auto"/>
      </w:pPr>
      <w:r w:rsidRPr="005C47CD">
        <w:t>The cost allocation method seems the most appropriate one for most SGEIs</w:t>
      </w:r>
      <w:r w:rsidR="006D07F8" w:rsidRPr="005C47CD">
        <w:t>,</w:t>
      </w:r>
      <w:r w:rsidRPr="005C47CD">
        <w:t xml:space="preserve"> as its calculation </w:t>
      </w:r>
      <w:r w:rsidR="006D07F8" w:rsidRPr="005C47CD">
        <w:t xml:space="preserve">is based </w:t>
      </w:r>
      <w:r w:rsidRPr="005C47CD">
        <w:t xml:space="preserve">on the difference between </w:t>
      </w:r>
      <w:r w:rsidR="006D07F8" w:rsidRPr="005C47CD">
        <w:t xml:space="preserve">the </w:t>
      </w:r>
      <w:r w:rsidRPr="005C47CD">
        <w:t xml:space="preserve">costs </w:t>
      </w:r>
      <w:r w:rsidR="006D07F8" w:rsidRPr="005C47CD">
        <w:t xml:space="preserve">of meeting </w:t>
      </w:r>
      <w:r w:rsidRPr="005C47CD">
        <w:t xml:space="preserve">the public service obligation and the corresponding revenues. Nonetheless, the Member States wanting to use this method must justify the reasons for discarding the NAC approach </w:t>
      </w:r>
      <w:r w:rsidR="006D07F8" w:rsidRPr="005C47CD">
        <w:t xml:space="preserve">that is </w:t>
      </w:r>
      <w:r w:rsidRPr="005C47CD">
        <w:t xml:space="preserve">otherwise considered mandatory. </w:t>
      </w:r>
      <w:r w:rsidR="006D07F8" w:rsidRPr="005C47CD">
        <w:t xml:space="preserve">Since </w:t>
      </w:r>
      <w:r w:rsidRPr="005C47CD">
        <w:t xml:space="preserve">the </w:t>
      </w:r>
      <w:r w:rsidRPr="005C47CD">
        <w:lastRenderedPageBreak/>
        <w:t xml:space="preserve">NAC involves a complex and costly analysis, external consultancy services often </w:t>
      </w:r>
      <w:r w:rsidR="006D07F8" w:rsidRPr="005C47CD">
        <w:t xml:space="preserve">being </w:t>
      </w:r>
      <w:r w:rsidRPr="005C47CD">
        <w:t xml:space="preserve">required, </w:t>
      </w:r>
      <w:r w:rsidR="006D07F8" w:rsidRPr="005C47CD">
        <w:t>t</w:t>
      </w:r>
      <w:r w:rsidRPr="005C47CD">
        <w:t xml:space="preserve">he EESC </w:t>
      </w:r>
      <w:r w:rsidR="007E46BB" w:rsidRPr="005C47CD">
        <w:t>recommends</w:t>
      </w:r>
      <w:r w:rsidR="006D07F8" w:rsidRPr="005C47CD">
        <w:t xml:space="preserve"> that </w:t>
      </w:r>
      <w:r w:rsidRPr="005C47CD">
        <w:t xml:space="preserve">the Commission recognise this method as a fully valid one, on the same footing as the NAC </w:t>
      </w:r>
      <w:r w:rsidR="006D07F8" w:rsidRPr="005C47CD">
        <w:t xml:space="preserve">except </w:t>
      </w:r>
      <w:r w:rsidRPr="005C47CD">
        <w:t>for specific activities such as postal services</w:t>
      </w:r>
      <w:r w:rsidR="00C74FD2" w:rsidRPr="005C47CD">
        <w:t xml:space="preserve"> where such methodology stands as the binding one, according to the Third Postal Directive</w:t>
      </w:r>
      <w:r w:rsidRPr="005C47CD">
        <w:t>.</w:t>
      </w:r>
    </w:p>
    <w:p w14:paraId="08003AA1" w14:textId="77777777" w:rsidR="00211A06" w:rsidRPr="005C47CD" w:rsidRDefault="00211A06">
      <w:pPr>
        <w:overflowPunct/>
        <w:adjustRightInd/>
        <w:textAlignment w:val="auto"/>
      </w:pPr>
    </w:p>
    <w:p w14:paraId="0BD5F28E" w14:textId="1679CD3D" w:rsidR="00211A06" w:rsidRPr="005C47CD" w:rsidRDefault="006D07F8">
      <w:pPr>
        <w:pStyle w:val="Heading2"/>
        <w:overflowPunct/>
        <w:adjustRightInd/>
        <w:ind w:left="567" w:hanging="567"/>
        <w:textAlignment w:val="auto"/>
      </w:pPr>
      <w:r w:rsidRPr="005C47CD">
        <w:t>P</w:t>
      </w:r>
      <w:r w:rsidR="00211A06" w:rsidRPr="005C47CD">
        <w:t xml:space="preserve">oint 32 </w:t>
      </w:r>
      <w:r w:rsidRPr="005C47CD">
        <w:t xml:space="preserve">of </w:t>
      </w:r>
      <w:r w:rsidR="00211A06" w:rsidRPr="005C47CD">
        <w:t>the Framework</w:t>
      </w:r>
      <w:r w:rsidRPr="005C47CD">
        <w:t>, on revenue,</w:t>
      </w:r>
      <w:r w:rsidR="00211A06" w:rsidRPr="005C47CD">
        <w:t xml:space="preserve"> rightly includes the excessive profits generated from special or exclusive rights. Yet in recent practice </w:t>
      </w:r>
      <w:r w:rsidR="00331E7B" w:rsidRPr="005C47CD">
        <w:t xml:space="preserve">this has included </w:t>
      </w:r>
      <w:r w:rsidR="00211A06" w:rsidRPr="005C47CD">
        <w:t xml:space="preserve">profits from universal provision even if they do not derive from such rights, thus leading to misleading assessments. It should be stressed that universal coverage implies a disadvantage </w:t>
      </w:r>
      <w:r w:rsidR="00331E7B" w:rsidRPr="005C47CD">
        <w:t>because</w:t>
      </w:r>
      <w:r w:rsidR="00211A06" w:rsidRPr="005C47CD">
        <w:t xml:space="preserve"> the designated provider is bound to service a given territory regardless of the costs incurred. Thus</w:t>
      </w:r>
      <w:r w:rsidR="00760954" w:rsidRPr="005C47CD">
        <w:t>,</w:t>
      </w:r>
      <w:r w:rsidR="00211A06" w:rsidRPr="005C47CD">
        <w:t xml:space="preserve"> should </w:t>
      </w:r>
      <w:r w:rsidR="00331E7B" w:rsidRPr="005C47CD">
        <w:t xml:space="preserve">the provider </w:t>
      </w:r>
      <w:r w:rsidR="00211A06" w:rsidRPr="005C47CD">
        <w:t xml:space="preserve">perform this </w:t>
      </w:r>
      <w:r w:rsidR="00331E7B" w:rsidRPr="005C47CD">
        <w:t xml:space="preserve">service </w:t>
      </w:r>
      <w:r w:rsidR="00211A06" w:rsidRPr="005C47CD">
        <w:t xml:space="preserve">on a profitable basis, Treaty principles </w:t>
      </w:r>
      <w:r w:rsidR="00331E7B" w:rsidRPr="005C47CD">
        <w:t xml:space="preserve">would be breached </w:t>
      </w:r>
      <w:r w:rsidR="00211A06" w:rsidRPr="005C47CD">
        <w:t xml:space="preserve">if </w:t>
      </w:r>
      <w:r w:rsidR="00760954" w:rsidRPr="005C47CD">
        <w:t xml:space="preserve">this </w:t>
      </w:r>
      <w:r w:rsidR="00211A06" w:rsidRPr="005C47CD">
        <w:t xml:space="preserve">surplus </w:t>
      </w:r>
      <w:r w:rsidR="00760954" w:rsidRPr="005C47CD">
        <w:t xml:space="preserve">should finance on a mandatory basis  </w:t>
      </w:r>
      <w:r w:rsidR="00211A06" w:rsidRPr="005C47CD">
        <w:t xml:space="preserve">other loss-making public service obligations. </w:t>
      </w:r>
      <w:r w:rsidR="00C021D6" w:rsidRPr="005C47CD">
        <w:t>T</w:t>
      </w:r>
      <w:r w:rsidR="00211A06" w:rsidRPr="005C47CD">
        <w:t xml:space="preserve">he EESC </w:t>
      </w:r>
      <w:r w:rsidR="00C021D6" w:rsidRPr="005C47CD">
        <w:t xml:space="preserve">therefore asks </w:t>
      </w:r>
      <w:r w:rsidR="00211A06" w:rsidRPr="005C47CD">
        <w:t xml:space="preserve">the Commission to clarify this point and to draw a distinction between special or exclusive rights </w:t>
      </w:r>
      <w:r w:rsidR="00760954" w:rsidRPr="005C47CD">
        <w:t>involving an advantage whose profit should be taken into consideration in financing public service obligations and universal coverage that involves a disadvantage for the designated provider</w:t>
      </w:r>
      <w:r w:rsidR="00211A06" w:rsidRPr="005C47CD">
        <w:t>.</w:t>
      </w:r>
    </w:p>
    <w:p w14:paraId="4D6B8F1E" w14:textId="77777777" w:rsidR="00211A06" w:rsidRPr="005C47CD" w:rsidRDefault="00211A06">
      <w:pPr>
        <w:overflowPunct/>
        <w:adjustRightInd/>
        <w:textAlignment w:val="auto"/>
      </w:pPr>
    </w:p>
    <w:p w14:paraId="325E4A8A" w14:textId="019F5537" w:rsidR="00211A06" w:rsidRPr="005C47CD" w:rsidRDefault="00211A06">
      <w:pPr>
        <w:pStyle w:val="Heading2"/>
        <w:overflowPunct/>
        <w:adjustRightInd/>
        <w:ind w:left="567" w:hanging="567"/>
        <w:textAlignment w:val="auto"/>
      </w:pPr>
      <w:r w:rsidRPr="005C47CD">
        <w:t xml:space="preserve">Reasonable profit as envisaged in the Framework raises some </w:t>
      </w:r>
      <w:r w:rsidR="00C021D6" w:rsidRPr="005C47CD">
        <w:t xml:space="preserve">issues </w:t>
      </w:r>
      <w:r w:rsidRPr="005C47CD">
        <w:t xml:space="preserve">that need further clarification. </w:t>
      </w:r>
      <w:r w:rsidR="00C021D6" w:rsidRPr="005C47CD">
        <w:t>W</w:t>
      </w:r>
      <w:r w:rsidRPr="005C47CD">
        <w:t xml:space="preserve">hile </w:t>
      </w:r>
      <w:r w:rsidR="00C021D6" w:rsidRPr="005C47CD">
        <w:t xml:space="preserve">the Framework </w:t>
      </w:r>
      <w:r w:rsidRPr="005C47CD">
        <w:t xml:space="preserve">advocates </w:t>
      </w:r>
      <w:r w:rsidR="00C021D6" w:rsidRPr="005C47CD">
        <w:t>using</w:t>
      </w:r>
      <w:r w:rsidRPr="005C47CD">
        <w:t xml:space="preserve"> Internal Rates of Return, it recognises the inherent difficulty of applying this method. Thus</w:t>
      </w:r>
      <w:r w:rsidR="00760954" w:rsidRPr="005C47CD">
        <w:t>,</w:t>
      </w:r>
      <w:r w:rsidRPr="005C47CD">
        <w:t xml:space="preserve"> </w:t>
      </w:r>
      <w:r w:rsidR="00C021D6" w:rsidRPr="005C47CD">
        <w:t xml:space="preserve">in practice the </w:t>
      </w:r>
      <w:r w:rsidRPr="005C47CD">
        <w:t xml:space="preserve">Commission </w:t>
      </w:r>
      <w:r w:rsidR="00C021D6" w:rsidRPr="005C47CD">
        <w:t>compares</w:t>
      </w:r>
      <w:r w:rsidRPr="005C47CD">
        <w:t xml:space="preserve"> firms from the same or </w:t>
      </w:r>
      <w:r w:rsidR="00C021D6" w:rsidRPr="005C47CD">
        <w:t xml:space="preserve">a related </w:t>
      </w:r>
      <w:r w:rsidRPr="005C47CD">
        <w:t xml:space="preserve">sector using standard profitability criteria such as ROE or ROS. Yet the lack of certainty on this issue often leads to divergent results. </w:t>
      </w:r>
      <w:r w:rsidR="00C021D6" w:rsidRPr="005C47CD">
        <w:t>T</w:t>
      </w:r>
      <w:r w:rsidRPr="005C47CD">
        <w:t xml:space="preserve">he EESC </w:t>
      </w:r>
      <w:r w:rsidR="00C021D6" w:rsidRPr="005C47CD">
        <w:t xml:space="preserve">therefore suggests that </w:t>
      </w:r>
      <w:r w:rsidRPr="005C47CD">
        <w:t xml:space="preserve">the Commission recognise all standard and well-established </w:t>
      </w:r>
      <w:r w:rsidR="00C021D6" w:rsidRPr="005C47CD">
        <w:t xml:space="preserve">profitability </w:t>
      </w:r>
      <w:r w:rsidRPr="005C47CD">
        <w:t xml:space="preserve">criteria </w:t>
      </w:r>
      <w:r w:rsidR="00C021D6" w:rsidRPr="005C47CD">
        <w:t xml:space="preserve">rather than making </w:t>
      </w:r>
      <w:r w:rsidRPr="005C47CD">
        <w:t xml:space="preserve">any given one mandatory. </w:t>
      </w:r>
      <w:r w:rsidR="00C021D6" w:rsidRPr="005C47CD">
        <w:t>T</w:t>
      </w:r>
      <w:r w:rsidRPr="005C47CD">
        <w:t xml:space="preserve">he EESC </w:t>
      </w:r>
      <w:r w:rsidR="00C021D6" w:rsidRPr="005C47CD">
        <w:t xml:space="preserve">asks </w:t>
      </w:r>
      <w:r w:rsidRPr="005C47CD">
        <w:t>the Commission to provide further clarification on profitability standards and to allow the use</w:t>
      </w:r>
      <w:r w:rsidR="00C021D6" w:rsidRPr="005C47CD">
        <w:t xml:space="preserve"> of different ones</w:t>
      </w:r>
      <w:r w:rsidRPr="005C47CD">
        <w:t xml:space="preserve"> </w:t>
      </w:r>
      <w:r w:rsidR="00C021D6" w:rsidRPr="005C47CD">
        <w:t xml:space="preserve">rather than </w:t>
      </w:r>
      <w:r w:rsidRPr="005C47CD">
        <w:t xml:space="preserve">imposing a particular one </w:t>
      </w:r>
      <w:r w:rsidR="00C021D6" w:rsidRPr="005C47CD">
        <w:t xml:space="preserve">on </w:t>
      </w:r>
      <w:r w:rsidRPr="005C47CD">
        <w:t>the Member States.</w:t>
      </w:r>
    </w:p>
    <w:p w14:paraId="3CB63579" w14:textId="77777777" w:rsidR="00211A06" w:rsidRPr="005C47CD" w:rsidRDefault="00211A06">
      <w:pPr>
        <w:overflowPunct/>
        <w:adjustRightInd/>
        <w:textAlignment w:val="auto"/>
      </w:pPr>
    </w:p>
    <w:p w14:paraId="352E384D" w14:textId="5497213C" w:rsidR="00211A06" w:rsidRPr="005C47CD" w:rsidRDefault="00FB2D45">
      <w:pPr>
        <w:pStyle w:val="Heading2"/>
        <w:overflowPunct/>
        <w:adjustRightInd/>
        <w:ind w:left="567" w:hanging="567"/>
        <w:textAlignment w:val="auto"/>
      </w:pPr>
      <w:r w:rsidRPr="005C47CD">
        <w:t xml:space="preserve">The mandatory efficiency requirement under points 39 to 46 </w:t>
      </w:r>
      <w:r w:rsidR="00C021D6" w:rsidRPr="005C47CD">
        <w:t xml:space="preserve">of the Framework is </w:t>
      </w:r>
      <w:r w:rsidRPr="005C47CD">
        <w:t>prov</w:t>
      </w:r>
      <w:r w:rsidR="00C021D6" w:rsidRPr="005C47CD">
        <w:t>ing to be</w:t>
      </w:r>
      <w:r w:rsidRPr="005C47CD">
        <w:t xml:space="preserve"> a formidable hurdle for stakeholders and authorities alike. As the Framework provides no clue on how to calculate the efficiency incentives, Commission practice </w:t>
      </w:r>
      <w:r w:rsidR="007E46BB" w:rsidRPr="005C47CD">
        <w:t>allows</w:t>
      </w:r>
      <w:r w:rsidRPr="005C47CD">
        <w:t xml:space="preserve"> widely divergent assessments</w:t>
      </w:r>
      <w:r w:rsidR="007E46BB" w:rsidRPr="005C47CD">
        <w:t>,</w:t>
      </w:r>
      <w:r w:rsidRPr="005C47CD">
        <w:t xml:space="preserve"> thus </w:t>
      </w:r>
      <w:r w:rsidR="007E46BB" w:rsidRPr="005C47CD">
        <w:t xml:space="preserve">compromising </w:t>
      </w:r>
      <w:r w:rsidRPr="005C47CD">
        <w:t>the principle</w:t>
      </w:r>
      <w:r w:rsidR="00DB0A1B" w:rsidRPr="005C47CD">
        <w:t>s</w:t>
      </w:r>
      <w:r w:rsidRPr="005C47CD">
        <w:t xml:space="preserve"> of legal certainty and equal treatment. </w:t>
      </w:r>
      <w:r w:rsidR="007E46BB" w:rsidRPr="005C47CD">
        <w:t>T</w:t>
      </w:r>
      <w:r w:rsidRPr="005C47CD">
        <w:t xml:space="preserve">he EESC </w:t>
      </w:r>
      <w:r w:rsidR="007E46BB" w:rsidRPr="005C47CD">
        <w:t xml:space="preserve">therefore asks </w:t>
      </w:r>
      <w:r w:rsidRPr="005C47CD">
        <w:t>the Commission to clarify further the alternative ways of calculating these incentives</w:t>
      </w:r>
      <w:r w:rsidR="007E46BB" w:rsidRPr="005C47CD">
        <w:t>,</w:t>
      </w:r>
      <w:r w:rsidRPr="005C47CD">
        <w:t xml:space="preserve"> whose use should not be binding given the complexity involved.</w:t>
      </w:r>
    </w:p>
    <w:p w14:paraId="0147893D" w14:textId="1962F85F" w:rsidR="005B2C4D" w:rsidRPr="005C47CD" w:rsidRDefault="005B2C4D">
      <w:pPr>
        <w:overflowPunct/>
        <w:adjustRightInd/>
        <w:jc w:val="center"/>
        <w:textAlignment w:val="auto"/>
      </w:pPr>
    </w:p>
    <w:p w14:paraId="1C965748" w14:textId="77777777" w:rsidR="00646AC2" w:rsidRPr="003A29E8" w:rsidRDefault="00646AC2">
      <w:pPr>
        <w:overflowPunct/>
        <w:adjustRightInd/>
        <w:jc w:val="center"/>
        <w:textAlignment w:val="auto"/>
      </w:pPr>
      <w:r w:rsidRPr="005C47CD">
        <w:t>_____________</w:t>
      </w:r>
    </w:p>
    <w:sectPr w:rsidR="00646AC2" w:rsidRPr="003A29E8" w:rsidSect="00C133A6">
      <w:headerReference w:type="even" r:id="rId20"/>
      <w:headerReference w:type="default" r:id="rId21"/>
      <w:footerReference w:type="even" r:id="rId22"/>
      <w:footerReference w:type="default" r:id="rId23"/>
      <w:headerReference w:type="first" r:id="rId24"/>
      <w:footerReference w:type="first" r:id="rId25"/>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DAA68" w14:textId="77777777" w:rsidR="00CA5E04" w:rsidRDefault="00CA5E04">
      <w:r>
        <w:separator/>
      </w:r>
    </w:p>
  </w:endnote>
  <w:endnote w:type="continuationSeparator" w:id="0">
    <w:p w14:paraId="6835A867" w14:textId="77777777" w:rsidR="00CA5E04" w:rsidRDefault="00CA5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7821A" w14:textId="77777777" w:rsidR="00AA3750" w:rsidRPr="00C133A6" w:rsidRDefault="00AA3750" w:rsidP="00C133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0030C" w14:textId="449351BD" w:rsidR="00D265B6" w:rsidRPr="00C133A6" w:rsidRDefault="00C133A6" w:rsidP="00C133A6">
    <w:pPr>
      <w:pStyle w:val="Footer"/>
    </w:pPr>
    <w:r>
      <w:t xml:space="preserve">TEN/605 – EESC-2016-05302-00-00-APA-TRA (EN) </w:t>
    </w:r>
    <w:r>
      <w:fldChar w:fldCharType="begin"/>
    </w:r>
    <w:r>
      <w:instrText xml:space="preserve"> PAGE  \* Arabic  \* MERGEFORMAT </w:instrText>
    </w:r>
    <w:r>
      <w:fldChar w:fldCharType="separate"/>
    </w:r>
    <w:r w:rsidR="005C47CD">
      <w:rPr>
        <w:noProof/>
      </w:rPr>
      <w:t>1</w:t>
    </w:r>
    <w:r>
      <w:fldChar w:fldCharType="end"/>
    </w:r>
    <w:r>
      <w:t>/</w:t>
    </w:r>
    <w:r>
      <w:fldChar w:fldCharType="begin"/>
    </w:r>
    <w:r>
      <w:instrText xml:space="preserve"> = </w:instrText>
    </w:r>
    <w:fldSimple w:instr=" NUMPAGES ">
      <w:r w:rsidR="005C47CD">
        <w:rPr>
          <w:noProof/>
        </w:rPr>
        <w:instrText>11</w:instrText>
      </w:r>
    </w:fldSimple>
    <w:r>
      <w:instrText xml:space="preserve"> </w:instrText>
    </w:r>
    <w:r>
      <w:fldChar w:fldCharType="separate"/>
    </w:r>
    <w:r w:rsidR="005C47CD">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0AD75" w14:textId="77777777" w:rsidR="00AA3750" w:rsidRPr="00C133A6" w:rsidRDefault="00AA3750" w:rsidP="00C133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F0B80" w14:textId="77777777" w:rsidR="00D265B6" w:rsidRPr="00C133A6" w:rsidRDefault="00D265B6" w:rsidP="00C133A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8B1EB" w14:textId="27CB82C3" w:rsidR="00D265B6" w:rsidRPr="00C133A6" w:rsidRDefault="00C133A6" w:rsidP="00C133A6">
    <w:pPr>
      <w:pStyle w:val="Footer"/>
    </w:pPr>
    <w:r>
      <w:t xml:space="preserve">TEN/605 – EESC-2016-05302-00-00-APA-TRA (EN) </w:t>
    </w:r>
    <w:r>
      <w:fldChar w:fldCharType="begin"/>
    </w:r>
    <w:r>
      <w:instrText xml:space="preserve"> PAGE  \* Arabic  \* MERGEFORMAT </w:instrText>
    </w:r>
    <w:r>
      <w:fldChar w:fldCharType="separate"/>
    </w:r>
    <w:r w:rsidR="005C47CD">
      <w:rPr>
        <w:noProof/>
      </w:rPr>
      <w:t>11</w:t>
    </w:r>
    <w:r>
      <w:fldChar w:fldCharType="end"/>
    </w:r>
    <w:r>
      <w:t>/</w:t>
    </w:r>
    <w:r>
      <w:fldChar w:fldCharType="begin"/>
    </w:r>
    <w:r>
      <w:instrText xml:space="preserve"> = </w:instrText>
    </w:r>
    <w:fldSimple w:instr=" NUMPAGES ">
      <w:r w:rsidR="005C47CD">
        <w:rPr>
          <w:noProof/>
        </w:rPr>
        <w:instrText>11</w:instrText>
      </w:r>
    </w:fldSimple>
    <w:r>
      <w:instrText xml:space="preserve"> </w:instrText>
    </w:r>
    <w:r>
      <w:fldChar w:fldCharType="separate"/>
    </w:r>
    <w:r w:rsidR="005C47CD">
      <w:rPr>
        <w:noProof/>
      </w:rPr>
      <w:t>11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A1EF9" w14:textId="77777777" w:rsidR="00D265B6" w:rsidRPr="00C133A6" w:rsidRDefault="00D265B6" w:rsidP="00C13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4A356" w14:textId="77777777" w:rsidR="00CA5E04" w:rsidRDefault="00CA5E04">
      <w:r>
        <w:separator/>
      </w:r>
    </w:p>
  </w:footnote>
  <w:footnote w:type="continuationSeparator" w:id="0">
    <w:p w14:paraId="01AEEE30" w14:textId="77777777" w:rsidR="00CA5E04" w:rsidRDefault="00CA5E04">
      <w:r>
        <w:continuationSeparator/>
      </w:r>
    </w:p>
  </w:footnote>
  <w:footnote w:id="1">
    <w:p w14:paraId="5B35E1E2" w14:textId="77777777" w:rsidR="00AC08A3" w:rsidRPr="000C0489" w:rsidRDefault="00AC08A3" w:rsidP="00AC08A3">
      <w:pPr>
        <w:pStyle w:val="FootnoteText"/>
      </w:pPr>
      <w:r>
        <w:rPr>
          <w:rStyle w:val="FootnoteReference"/>
        </w:rPr>
        <w:footnoteRef/>
      </w:r>
      <w:r>
        <w:t xml:space="preserve"> </w:t>
      </w:r>
      <w:r>
        <w:tab/>
      </w:r>
      <w:r>
        <w:rPr>
          <w:lang w:val="en-US"/>
        </w:rPr>
        <w:t xml:space="preserve">Revealed by the </w:t>
      </w:r>
      <w:r>
        <w:t>Study “Review of Member States' reports on the implementation of the European Commission Decision on the provision of State aid to the provision of services of general economic interest”, commissioned by the TEN Section, April 2017.</w:t>
      </w:r>
    </w:p>
  </w:footnote>
  <w:footnote w:id="2">
    <w:p w14:paraId="7A679F74" w14:textId="77777777" w:rsidR="000A160E" w:rsidRPr="000C0489" w:rsidRDefault="000A160E" w:rsidP="000A160E">
      <w:pPr>
        <w:pStyle w:val="FootnoteText"/>
        <w:rPr>
          <w:lang w:val="en-US"/>
        </w:rPr>
      </w:pPr>
      <w:r>
        <w:rPr>
          <w:rStyle w:val="FootnoteReference"/>
        </w:rPr>
        <w:footnoteRef/>
      </w:r>
      <w:r>
        <w:t xml:space="preserve"> </w:t>
      </w:r>
      <w:r>
        <w:rPr>
          <w:lang w:val="bg-BG"/>
        </w:rPr>
        <w:tab/>
      </w:r>
      <w:r>
        <w:rPr>
          <w:lang w:val="en-US"/>
        </w:rPr>
        <w:t>According to the above study.</w:t>
      </w:r>
    </w:p>
  </w:footnote>
  <w:footnote w:id="3">
    <w:p w14:paraId="25D3D5BA" w14:textId="46F8BB0E" w:rsidR="00D265B6" w:rsidRPr="00940F24" w:rsidRDefault="00D265B6" w:rsidP="000D2E05">
      <w:pPr>
        <w:pStyle w:val="FootnoteText"/>
        <w:ind w:left="567" w:hanging="567"/>
        <w:rPr>
          <w:lang w:val="fr-FR"/>
        </w:rPr>
      </w:pPr>
      <w:r w:rsidRPr="00926D21">
        <w:rPr>
          <w:rStyle w:val="FootnoteReference"/>
        </w:rPr>
        <w:footnoteRef/>
      </w:r>
      <w:r w:rsidRPr="00940F24">
        <w:rPr>
          <w:rStyle w:val="FootnoteReference"/>
          <w:lang w:val="fr-FR"/>
        </w:rPr>
        <w:t xml:space="preserve"> </w:t>
      </w:r>
      <w:r w:rsidR="00926D21" w:rsidRPr="00940F24">
        <w:rPr>
          <w:lang w:val="fr-FR"/>
        </w:rPr>
        <w:tab/>
      </w:r>
      <w:r w:rsidRPr="00940F24">
        <w:rPr>
          <w:lang w:val="fr-FR"/>
        </w:rPr>
        <w:t xml:space="preserve">Ruling of 27 February 1997 in Case T-106/95 </w:t>
      </w:r>
      <w:r w:rsidRPr="00940F24">
        <w:rPr>
          <w:i/>
          <w:lang w:val="fr-FR"/>
        </w:rPr>
        <w:t>Fédération Française des Sociétés d'Assurances (FFSA)</w:t>
      </w:r>
      <w:r w:rsidRPr="00940F24">
        <w:rPr>
          <w:lang w:val="fr-FR"/>
        </w:rPr>
        <w:t>.</w:t>
      </w:r>
    </w:p>
  </w:footnote>
  <w:footnote w:id="4">
    <w:p w14:paraId="33DBB627" w14:textId="078AF6C8" w:rsidR="00D265B6" w:rsidRPr="00926D21" w:rsidRDefault="00D265B6" w:rsidP="000D2E05">
      <w:pPr>
        <w:pStyle w:val="FootnoteText"/>
        <w:ind w:left="567" w:hanging="567"/>
      </w:pPr>
      <w:r w:rsidRPr="00926D21">
        <w:rPr>
          <w:rStyle w:val="FootnoteReference"/>
        </w:rPr>
        <w:footnoteRef/>
      </w:r>
      <w:r w:rsidRPr="00926D21">
        <w:rPr>
          <w:rStyle w:val="FootnoteReference"/>
        </w:rPr>
        <w:t xml:space="preserve"> </w:t>
      </w:r>
      <w:r w:rsidR="00926D21">
        <w:tab/>
      </w:r>
      <w:r w:rsidRPr="00926D21">
        <w:t xml:space="preserve">Ruling of 22 November 2001 in Case C-53/00 </w:t>
      </w:r>
      <w:proofErr w:type="spellStart"/>
      <w:r w:rsidRPr="00926D21">
        <w:rPr>
          <w:i/>
        </w:rPr>
        <w:t>Ferring</w:t>
      </w:r>
      <w:proofErr w:type="spellEnd"/>
      <w:r w:rsidRPr="00926D21">
        <w:rPr>
          <w:i/>
        </w:rPr>
        <w:t xml:space="preserve"> SA</w:t>
      </w:r>
      <w:r w:rsidRPr="00926D21">
        <w:t>.</w:t>
      </w:r>
    </w:p>
  </w:footnote>
  <w:footnote w:id="5">
    <w:p w14:paraId="18A9EE9A" w14:textId="5EA816F1" w:rsidR="00D265B6" w:rsidRPr="00926D21" w:rsidRDefault="00D265B6" w:rsidP="000D2E05">
      <w:pPr>
        <w:pStyle w:val="FootnoteText"/>
        <w:ind w:left="567" w:hanging="567"/>
      </w:pPr>
      <w:r w:rsidRPr="00926D21">
        <w:rPr>
          <w:rStyle w:val="FootnoteReference"/>
        </w:rPr>
        <w:footnoteRef/>
      </w:r>
      <w:r w:rsidRPr="00926D21">
        <w:rPr>
          <w:rStyle w:val="FootnoteReference"/>
        </w:rPr>
        <w:t xml:space="preserve"> </w:t>
      </w:r>
      <w:r w:rsidR="00926D21">
        <w:tab/>
      </w:r>
      <w:r w:rsidRPr="00926D21">
        <w:t xml:space="preserve">Ruling of 24 July 2003 in Case C-280/00 </w:t>
      </w:r>
      <w:proofErr w:type="spellStart"/>
      <w:r w:rsidRPr="00926D21">
        <w:rPr>
          <w:i/>
        </w:rPr>
        <w:t>Altmark</w:t>
      </w:r>
      <w:proofErr w:type="spellEnd"/>
      <w:r w:rsidRPr="00926D21">
        <w:t>.</w:t>
      </w:r>
    </w:p>
  </w:footnote>
  <w:footnote w:id="6">
    <w:p w14:paraId="4D593CF2" w14:textId="56AD3BEE" w:rsidR="00D265B6" w:rsidRPr="00926D21" w:rsidRDefault="00D265B6" w:rsidP="000D2E05">
      <w:pPr>
        <w:pStyle w:val="FootnoteText"/>
        <w:ind w:left="567" w:hanging="567"/>
      </w:pPr>
      <w:r w:rsidRPr="00926D21">
        <w:rPr>
          <w:rStyle w:val="FootnoteReference"/>
        </w:rPr>
        <w:footnoteRef/>
      </w:r>
      <w:r w:rsidRPr="00926D21">
        <w:rPr>
          <w:rStyle w:val="FootnoteReference"/>
        </w:rPr>
        <w:t xml:space="preserve"> </w:t>
      </w:r>
      <w:r w:rsidR="00926D21">
        <w:tab/>
      </w:r>
      <w:r w:rsidRPr="00926D21">
        <w:t xml:space="preserve">Communication from the Commission on the EU Framework for State aid in the form of public service compensation (2011). </w:t>
      </w:r>
      <w:hyperlink r:id="rId1" w:history="1">
        <w:r w:rsidRPr="002630AA">
          <w:rPr>
            <w:rStyle w:val="Hyperlink"/>
          </w:rPr>
          <w:t>OJ C 8, 11.1.2012, p. 15</w:t>
        </w:r>
      </w:hyperlink>
      <w:r w:rsidRPr="00926D21">
        <w:t>.</w:t>
      </w:r>
    </w:p>
  </w:footnote>
  <w:footnote w:id="7">
    <w:p w14:paraId="475ED8F4" w14:textId="6418AEFF" w:rsidR="00D265B6" w:rsidRPr="00926D21" w:rsidRDefault="00D265B6" w:rsidP="000D2E05">
      <w:pPr>
        <w:pStyle w:val="FootnoteText"/>
        <w:ind w:left="567" w:hanging="567"/>
      </w:pPr>
      <w:r w:rsidRPr="00926D21">
        <w:rPr>
          <w:rStyle w:val="FootnoteReference"/>
        </w:rPr>
        <w:footnoteRef/>
      </w:r>
      <w:r w:rsidRPr="00926D21">
        <w:rPr>
          <w:rStyle w:val="FootnoteReference"/>
        </w:rPr>
        <w:t xml:space="preserve"> </w:t>
      </w:r>
      <w:r w:rsidR="00926D21">
        <w:tab/>
      </w:r>
      <w:r w:rsidRPr="00926D21">
        <w:t xml:space="preserve">Commission Decision of 20 December 2011 on the application of Article 106(2) of the TFEU to State aid in the form of public service compensation to certain undertakings entrusted with the operation of SGEIs. </w:t>
      </w:r>
      <w:hyperlink r:id="rId2" w:history="1">
        <w:r w:rsidRPr="002630AA">
          <w:rPr>
            <w:rStyle w:val="Hyperlink"/>
          </w:rPr>
          <w:t>OJ L 7, 11.1.2012, p. 3</w:t>
        </w:r>
      </w:hyperlink>
      <w:r w:rsidRPr="00926D21">
        <w:t>.</w:t>
      </w:r>
    </w:p>
  </w:footnote>
  <w:footnote w:id="8">
    <w:p w14:paraId="6AE81778" w14:textId="59E4DD91" w:rsidR="00D265B6" w:rsidRPr="00926D21" w:rsidRDefault="00D265B6" w:rsidP="000D2E05">
      <w:pPr>
        <w:pStyle w:val="FootnoteText"/>
        <w:ind w:left="567" w:hanging="567"/>
      </w:pPr>
      <w:r w:rsidRPr="00926D21">
        <w:rPr>
          <w:rStyle w:val="FootnoteReference"/>
        </w:rPr>
        <w:footnoteRef/>
      </w:r>
      <w:r w:rsidRPr="00926D21">
        <w:rPr>
          <w:rStyle w:val="FootnoteReference"/>
        </w:rPr>
        <w:t xml:space="preserve"> </w:t>
      </w:r>
      <w:r w:rsidR="00926D21">
        <w:tab/>
      </w:r>
      <w:r w:rsidRPr="00926D21">
        <w:t>Article 2(1)(a) of the Decision sets the annual threshold at EUR 15 million.</w:t>
      </w:r>
    </w:p>
  </w:footnote>
  <w:footnote w:id="9">
    <w:p w14:paraId="6C72C1B7" w14:textId="08A255B2" w:rsidR="00D265B6" w:rsidRPr="00926D21" w:rsidRDefault="00D265B6" w:rsidP="000D2E05">
      <w:pPr>
        <w:pStyle w:val="FootnoteText"/>
        <w:ind w:left="567" w:hanging="567"/>
      </w:pPr>
      <w:r w:rsidRPr="00926D21">
        <w:rPr>
          <w:rStyle w:val="FootnoteReference"/>
        </w:rPr>
        <w:footnoteRef/>
      </w:r>
      <w:r w:rsidRPr="00926D21">
        <w:rPr>
          <w:rStyle w:val="FootnoteReference"/>
        </w:rPr>
        <w:t xml:space="preserve"> </w:t>
      </w:r>
      <w:r w:rsidR="00926D21">
        <w:tab/>
      </w:r>
      <w:r w:rsidRPr="00926D21">
        <w:t>I.e. hospitals; health and long-term care; childcare; access and reintegration into the labour market; social housing; care and social inclusion of vulnerable groups; and maritime links to islands, airports and ports with a low volume of passengers.</w:t>
      </w:r>
    </w:p>
  </w:footnote>
  <w:footnote w:id="10">
    <w:p w14:paraId="4E8CE400" w14:textId="5D400374" w:rsidR="00D265B6" w:rsidRPr="00926D21" w:rsidRDefault="00D265B6" w:rsidP="000D2E05">
      <w:pPr>
        <w:pStyle w:val="FootnoteText"/>
        <w:ind w:left="567" w:hanging="567"/>
      </w:pPr>
      <w:r w:rsidRPr="00926D21">
        <w:rPr>
          <w:rStyle w:val="FootnoteReference"/>
        </w:rPr>
        <w:footnoteRef/>
      </w:r>
      <w:r w:rsidRPr="00926D21">
        <w:rPr>
          <w:rStyle w:val="FootnoteReference"/>
        </w:rPr>
        <w:t xml:space="preserve"> </w:t>
      </w:r>
      <w:r w:rsidR="00926D21">
        <w:tab/>
      </w:r>
      <w:r w:rsidRPr="00926D21">
        <w:t>"Review of Member States' reports on the implementation of the European Commission Decision on the provision of State aid to the provision of services of general economic interest", March 2017. The study analyses the national reports that following the Decision each Member State must submit every two years, providing a detailed overview of its application. The EESC study shows that while the Decision asks the Member States to provide in their reports an indication of potential difficulties or complaints stemming from application of the rules, this possibility has given rise to hardly any comment. Thus the scope of the study was enlarged to include postal service compensatory schemes, one of the main SGEIs subject to State aid funding rules. Passenger transport, the largest SGEI in terms of funding, falls outside the rules, being governed by specific provisions of the Treaty and a set of regulations. Public broadcasting, also a sizeable SGEI, has its own specific guidelines under the relevant protocol annexed to the Treaty. Energy is also an important sector.</w:t>
      </w:r>
    </w:p>
  </w:footnote>
  <w:footnote w:id="11">
    <w:p w14:paraId="1B203A5F" w14:textId="38187670" w:rsidR="00773144" w:rsidRDefault="00773144" w:rsidP="00773144">
      <w:pPr>
        <w:pStyle w:val="FootnoteText"/>
        <w:tabs>
          <w:tab w:val="left" w:pos="567"/>
        </w:tabs>
        <w:ind w:left="567" w:hanging="567"/>
      </w:pPr>
      <w:r>
        <w:rPr>
          <w:rStyle w:val="FootnoteReference"/>
        </w:rPr>
        <w:footnoteRef/>
      </w:r>
      <w:r>
        <w:tab/>
        <w:t>State aid SA.35608 on Hellenic Post (ELTA)</w:t>
      </w:r>
      <w:r w:rsidR="001B38C2">
        <w:t>,</w:t>
      </w:r>
      <w:r>
        <w:t xml:space="preserve"> where the Commission opened a formal procedure raising doubts on the financing of the UPS compensation through a Fund financed by private operators; the case was closed after the Greek authorities withdrew their proposal. </w:t>
      </w:r>
    </w:p>
    <w:p w14:paraId="3E6C0D27" w14:textId="1D846DA6" w:rsidR="00773144" w:rsidRPr="002D5F79" w:rsidRDefault="00773144" w:rsidP="00773144">
      <w:pPr>
        <w:pStyle w:val="FootnoteText"/>
        <w:tabs>
          <w:tab w:val="left" w:pos="567"/>
        </w:tabs>
        <w:ind w:left="567" w:hanging="567"/>
      </w:pPr>
      <w:r>
        <w:t xml:space="preserve"> </w:t>
      </w:r>
      <w:r>
        <w:tab/>
        <w:t>State aid SA.37977 on the Spanish Post Office</w:t>
      </w:r>
      <w:r w:rsidR="001B38C2">
        <w:t>,</w:t>
      </w:r>
      <w:r>
        <w:t xml:space="preserve"> where the Commission opened  a formal procedure for alleged aids granted in the period 2004-2010; the case is pending a final Decision. </w:t>
      </w:r>
    </w:p>
  </w:footnote>
  <w:footnote w:id="12">
    <w:p w14:paraId="52416550" w14:textId="4BC8A374" w:rsidR="00773144" w:rsidRPr="002D5F79" w:rsidRDefault="00773144" w:rsidP="00773144">
      <w:pPr>
        <w:pStyle w:val="FootnoteText"/>
        <w:tabs>
          <w:tab w:val="left" w:pos="567"/>
        </w:tabs>
        <w:ind w:left="567" w:hanging="567"/>
      </w:pPr>
      <w:r>
        <w:rPr>
          <w:rStyle w:val="FootnoteReference"/>
        </w:rPr>
        <w:footnoteRef/>
      </w:r>
      <w:r>
        <w:tab/>
        <w:t xml:space="preserve">Commission Decision on State aid SA.19864 on financing to IRIS hospitals in the Brussels Region. The case was cleared in 2009 but the Court of Justice annulled it in 2012 for failure by the Commission </w:t>
      </w:r>
      <w:r w:rsidR="0059426C">
        <w:t>to carry out</w:t>
      </w:r>
      <w:r>
        <w:t xml:space="preserve"> an in-depth investigation. The Commission opened the formal procedure in 2014 and reaffirmed the compatibility of the aid in the final Decision dated </w:t>
      </w:r>
      <w:r w:rsidR="005307B8">
        <w:t>5</w:t>
      </w:r>
      <w:r>
        <w:t xml:space="preserve"> July 2016. </w:t>
      </w:r>
    </w:p>
  </w:footnote>
  <w:footnote w:id="13">
    <w:p w14:paraId="40F9219C" w14:textId="1114DEE6" w:rsidR="00773144" w:rsidRPr="002D5F79" w:rsidRDefault="00773144" w:rsidP="00773144">
      <w:pPr>
        <w:pStyle w:val="FootnoteText"/>
        <w:ind w:left="709" w:hanging="709"/>
      </w:pPr>
      <w:r>
        <w:rPr>
          <w:rStyle w:val="FootnoteReference"/>
        </w:rPr>
        <w:footnoteRef/>
      </w:r>
      <w:r>
        <w:tab/>
        <w:t>Regulation (EC) No 1370/2007 of the European Parliament and of the Council of 23 October 2007 on public passenger transport services by rail and by road and repealing Council Regulations (EEC) Nos 1191/69 and 1107/70.</w:t>
      </w:r>
    </w:p>
  </w:footnote>
  <w:footnote w:id="14">
    <w:p w14:paraId="78E62159" w14:textId="6B336EC8" w:rsidR="00437292" w:rsidRPr="004A6531" w:rsidRDefault="00437292" w:rsidP="00437292">
      <w:pPr>
        <w:pStyle w:val="FootnoteText"/>
        <w:rPr>
          <w:lang w:val="en-US"/>
        </w:rPr>
      </w:pPr>
      <w:r>
        <w:rPr>
          <w:rStyle w:val="FootnoteReference"/>
        </w:rPr>
        <w:footnoteRef/>
      </w:r>
      <w:r>
        <w:t xml:space="preserve"> </w:t>
      </w:r>
      <w:r w:rsidRPr="004A6531">
        <w:rPr>
          <w:lang w:val="en-US"/>
        </w:rPr>
        <w:t xml:space="preserve">  </w:t>
      </w:r>
      <w:r>
        <w:rPr>
          <w:lang w:val="en-US"/>
        </w:rPr>
        <w:tab/>
      </w:r>
      <w:r w:rsidRPr="004A6531">
        <w:rPr>
          <w:lang w:val="en-US"/>
        </w:rPr>
        <w:t xml:space="preserve">As the standard entrustment period </w:t>
      </w:r>
      <w:r>
        <w:rPr>
          <w:lang w:val="en-US"/>
        </w:rPr>
        <w:t xml:space="preserve">runs up to </w:t>
      </w:r>
      <w:r w:rsidRPr="004A6531">
        <w:rPr>
          <w:lang w:val="en-US"/>
        </w:rPr>
        <w:t>10 years</w:t>
      </w:r>
      <w:r>
        <w:rPr>
          <w:lang w:val="en-US"/>
        </w:rPr>
        <w:t>,</w:t>
      </w:r>
      <w:r w:rsidRPr="004A6531">
        <w:rPr>
          <w:lang w:val="en-US"/>
        </w:rPr>
        <w:t xml:space="preserve"> the Decision requires keep</w:t>
      </w:r>
      <w:r>
        <w:rPr>
          <w:lang w:val="en-US"/>
        </w:rPr>
        <w:t>ing</w:t>
      </w:r>
      <w:r w:rsidRPr="004A6531">
        <w:rPr>
          <w:lang w:val="en-US"/>
        </w:rPr>
        <w:t xml:space="preserve"> records </w:t>
      </w:r>
      <w:r>
        <w:rPr>
          <w:lang w:val="en-US"/>
        </w:rPr>
        <w:t>for 20 years</w:t>
      </w:r>
      <w:r w:rsidR="00C519E4">
        <w:rPr>
          <w:lang w:val="en-US"/>
        </w:rPr>
        <w:t>,</w:t>
      </w:r>
      <w:r>
        <w:rPr>
          <w:lang w:val="en-US"/>
        </w:rPr>
        <w:t xml:space="preserve"> </w:t>
      </w:r>
      <w:r w:rsidRPr="004A6531">
        <w:rPr>
          <w:lang w:val="en-US"/>
        </w:rPr>
        <w:t xml:space="preserve">thus largely overcoming the latest 10-year period where such information might have relevance for State aid control purposes.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690F6" w14:textId="77777777" w:rsidR="00AA3750" w:rsidRPr="00C133A6" w:rsidRDefault="00AA3750" w:rsidP="00C133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3D8CA" w14:textId="5A4733C2" w:rsidR="00AA3750" w:rsidRPr="00C133A6" w:rsidRDefault="00AA3750" w:rsidP="00C133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38715" w14:textId="77777777" w:rsidR="00AA3750" w:rsidRPr="00C133A6" w:rsidRDefault="00AA3750" w:rsidP="00C133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7AB35" w14:textId="77777777" w:rsidR="00D265B6" w:rsidRPr="00C133A6" w:rsidRDefault="00D265B6" w:rsidP="00C133A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4B730" w14:textId="33652B07" w:rsidR="00D265B6" w:rsidRPr="00C133A6" w:rsidRDefault="00D265B6" w:rsidP="00C133A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7260D" w14:textId="77777777" w:rsidR="00D265B6" w:rsidRPr="00C133A6" w:rsidRDefault="00D265B6" w:rsidP="00C133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C9E3DC2"/>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85D1A2B"/>
    <w:multiLevelType w:val="hybridMultilevel"/>
    <w:tmpl w:val="28B2B4DA"/>
    <w:lvl w:ilvl="0" w:tplc="F3A006CC">
      <w:start w:val="1"/>
      <w:numFmt w:val="bullet"/>
      <w:lvlRestart w:val="0"/>
      <w:lvlText w:val="-"/>
      <w:lvlJc w:val="left"/>
      <w:pPr>
        <w:tabs>
          <w:tab w:val="num" w:pos="0"/>
        </w:tabs>
        <w:ind w:left="283" w:hanging="283"/>
      </w:pPr>
      <w:rPr>
        <w:rFonts w:ascii="Symbol" w:hAnsi="Symbol" w:hint="default"/>
        <w:b w:val="0"/>
        <w:i w:val="0"/>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A69188D"/>
    <w:multiLevelType w:val="hybridMultilevel"/>
    <w:tmpl w:val="46687B08"/>
    <w:lvl w:ilvl="0" w:tplc="D9788524">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 w15:restartNumberingAfterBreak="0">
    <w:nsid w:val="17D33267"/>
    <w:multiLevelType w:val="hybridMultilevel"/>
    <w:tmpl w:val="C85AC248"/>
    <w:lvl w:ilvl="0" w:tplc="FA1464B6">
      <w:start w:val="1"/>
      <w:numFmt w:val="bullet"/>
      <w:lvlRestart w:val="0"/>
      <w:lvlText w:val=""/>
      <w:lvlJc w:val="left"/>
      <w:pPr>
        <w:tabs>
          <w:tab w:val="num" w:pos="0"/>
        </w:tabs>
        <w:ind w:left="283" w:hanging="283"/>
      </w:pPr>
      <w:rPr>
        <w:rFonts w:ascii="Symbol" w:hAnsi="Symbol" w:hint="default"/>
        <w:b w:val="0"/>
        <w:i w:val="0"/>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9F6207F"/>
    <w:multiLevelType w:val="singleLevel"/>
    <w:tmpl w:val="BDE23C60"/>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5" w15:restartNumberingAfterBreak="0">
    <w:nsid w:val="21462D4D"/>
    <w:multiLevelType w:val="hybridMultilevel"/>
    <w:tmpl w:val="23CE16A8"/>
    <w:lvl w:ilvl="0" w:tplc="2E4697A0">
      <w:start w:val="1"/>
      <w:numFmt w:val="bullet"/>
      <w:lvlRestart w:val="0"/>
      <w:lvlText w:val=""/>
      <w:lvlJc w:val="left"/>
      <w:pPr>
        <w:tabs>
          <w:tab w:val="num" w:pos="849"/>
        </w:tabs>
        <w:ind w:left="1132" w:hanging="283"/>
      </w:pPr>
      <w:rPr>
        <w:rFonts w:ascii="Symbol" w:hAnsi="Symbol" w:hint="default"/>
        <w:b w:val="0"/>
        <w:i w:val="0"/>
        <w:sz w:val="22"/>
      </w:rPr>
    </w:lvl>
    <w:lvl w:ilvl="1" w:tplc="080C0003" w:tentative="1">
      <w:start w:val="1"/>
      <w:numFmt w:val="bullet"/>
      <w:lvlText w:val="o"/>
      <w:lvlJc w:val="left"/>
      <w:pPr>
        <w:ind w:left="2289" w:hanging="360"/>
      </w:pPr>
      <w:rPr>
        <w:rFonts w:ascii="Courier New" w:hAnsi="Courier New" w:cs="Courier New" w:hint="default"/>
      </w:rPr>
    </w:lvl>
    <w:lvl w:ilvl="2" w:tplc="080C0005" w:tentative="1">
      <w:start w:val="1"/>
      <w:numFmt w:val="bullet"/>
      <w:lvlText w:val=""/>
      <w:lvlJc w:val="left"/>
      <w:pPr>
        <w:ind w:left="3009" w:hanging="360"/>
      </w:pPr>
      <w:rPr>
        <w:rFonts w:ascii="Wingdings" w:hAnsi="Wingdings" w:hint="default"/>
      </w:rPr>
    </w:lvl>
    <w:lvl w:ilvl="3" w:tplc="080C0001" w:tentative="1">
      <w:start w:val="1"/>
      <w:numFmt w:val="bullet"/>
      <w:lvlText w:val=""/>
      <w:lvlJc w:val="left"/>
      <w:pPr>
        <w:ind w:left="3729" w:hanging="360"/>
      </w:pPr>
      <w:rPr>
        <w:rFonts w:ascii="Symbol" w:hAnsi="Symbol" w:hint="default"/>
      </w:rPr>
    </w:lvl>
    <w:lvl w:ilvl="4" w:tplc="080C0003" w:tentative="1">
      <w:start w:val="1"/>
      <w:numFmt w:val="bullet"/>
      <w:lvlText w:val="o"/>
      <w:lvlJc w:val="left"/>
      <w:pPr>
        <w:ind w:left="4449" w:hanging="360"/>
      </w:pPr>
      <w:rPr>
        <w:rFonts w:ascii="Courier New" w:hAnsi="Courier New" w:cs="Courier New" w:hint="default"/>
      </w:rPr>
    </w:lvl>
    <w:lvl w:ilvl="5" w:tplc="080C0005" w:tentative="1">
      <w:start w:val="1"/>
      <w:numFmt w:val="bullet"/>
      <w:lvlText w:val=""/>
      <w:lvlJc w:val="left"/>
      <w:pPr>
        <w:ind w:left="5169" w:hanging="360"/>
      </w:pPr>
      <w:rPr>
        <w:rFonts w:ascii="Wingdings" w:hAnsi="Wingdings" w:hint="default"/>
      </w:rPr>
    </w:lvl>
    <w:lvl w:ilvl="6" w:tplc="080C0001" w:tentative="1">
      <w:start w:val="1"/>
      <w:numFmt w:val="bullet"/>
      <w:lvlText w:val=""/>
      <w:lvlJc w:val="left"/>
      <w:pPr>
        <w:ind w:left="5889" w:hanging="360"/>
      </w:pPr>
      <w:rPr>
        <w:rFonts w:ascii="Symbol" w:hAnsi="Symbol" w:hint="default"/>
      </w:rPr>
    </w:lvl>
    <w:lvl w:ilvl="7" w:tplc="080C0003" w:tentative="1">
      <w:start w:val="1"/>
      <w:numFmt w:val="bullet"/>
      <w:lvlText w:val="o"/>
      <w:lvlJc w:val="left"/>
      <w:pPr>
        <w:ind w:left="6609" w:hanging="360"/>
      </w:pPr>
      <w:rPr>
        <w:rFonts w:ascii="Courier New" w:hAnsi="Courier New" w:cs="Courier New" w:hint="default"/>
      </w:rPr>
    </w:lvl>
    <w:lvl w:ilvl="8" w:tplc="080C0005" w:tentative="1">
      <w:start w:val="1"/>
      <w:numFmt w:val="bullet"/>
      <w:lvlText w:val=""/>
      <w:lvlJc w:val="left"/>
      <w:pPr>
        <w:ind w:left="7329" w:hanging="360"/>
      </w:pPr>
      <w:rPr>
        <w:rFonts w:ascii="Wingdings" w:hAnsi="Wingdings" w:hint="default"/>
      </w:rPr>
    </w:lvl>
  </w:abstractNum>
  <w:abstractNum w:abstractNumId="6" w15:restartNumberingAfterBreak="0">
    <w:nsid w:val="24CC6100"/>
    <w:multiLevelType w:val="singleLevel"/>
    <w:tmpl w:val="BDE23C60"/>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7" w15:restartNumberingAfterBreak="0">
    <w:nsid w:val="3C8E4444"/>
    <w:multiLevelType w:val="singleLevel"/>
    <w:tmpl w:val="BDE23C60"/>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8" w15:restartNumberingAfterBreak="0">
    <w:nsid w:val="45B44026"/>
    <w:multiLevelType w:val="singleLevel"/>
    <w:tmpl w:val="23CE16A8"/>
    <w:lvl w:ilvl="0">
      <w:start w:val="1"/>
      <w:numFmt w:val="bullet"/>
      <w:lvlRestart w:val="0"/>
      <w:lvlText w:val=""/>
      <w:lvlJc w:val="left"/>
      <w:pPr>
        <w:tabs>
          <w:tab w:val="num" w:pos="568"/>
        </w:tabs>
        <w:ind w:left="851" w:hanging="283"/>
      </w:pPr>
      <w:rPr>
        <w:rFonts w:ascii="Symbol" w:hAnsi="Symbol" w:hint="default"/>
        <w:b w:val="0"/>
        <w:i w:val="0"/>
        <w:sz w:val="22"/>
      </w:rPr>
    </w:lvl>
  </w:abstractNum>
  <w:abstractNum w:abstractNumId="9" w15:restartNumberingAfterBreak="0">
    <w:nsid w:val="51C954A4"/>
    <w:multiLevelType w:val="hybridMultilevel"/>
    <w:tmpl w:val="BDE23C60"/>
    <w:lvl w:ilvl="0" w:tplc="C282A95C">
      <w:start w:val="1"/>
      <w:numFmt w:val="bullet"/>
      <w:lvlRestart w:val="0"/>
      <w:lvlText w:val="-"/>
      <w:lvlJc w:val="left"/>
      <w:pPr>
        <w:tabs>
          <w:tab w:val="num" w:pos="0"/>
        </w:tabs>
        <w:ind w:left="283" w:hanging="283"/>
      </w:pPr>
      <w:rPr>
        <w:rFonts w:ascii="Symbol" w:hAnsi="Symbol" w:hint="default"/>
        <w:b w:val="0"/>
        <w:i w:val="0"/>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57120A7"/>
    <w:multiLevelType w:val="hybridMultilevel"/>
    <w:tmpl w:val="DDF6D1F6"/>
    <w:lvl w:ilvl="0" w:tplc="D9042346">
      <w:start w:val="1"/>
      <w:numFmt w:val="bullet"/>
      <w:lvlRestart w:val="0"/>
      <w:lvlText w:val=""/>
      <w:lvlJc w:val="left"/>
      <w:pPr>
        <w:tabs>
          <w:tab w:val="num" w:pos="0"/>
        </w:tabs>
        <w:ind w:left="283" w:hanging="283"/>
      </w:pPr>
      <w:rPr>
        <w:rFonts w:ascii="Symbol" w:hAnsi="Symbol" w:hint="default"/>
        <w:b w:val="0"/>
        <w:i w:val="0"/>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77A665DC"/>
    <w:multiLevelType w:val="hybridMultilevel"/>
    <w:tmpl w:val="07220D14"/>
    <w:lvl w:ilvl="0" w:tplc="FD7AED9A">
      <w:start w:val="1"/>
      <w:numFmt w:val="bullet"/>
      <w:lvlRestart w:val="0"/>
      <w:lvlText w:val="-"/>
      <w:lvlJc w:val="left"/>
      <w:pPr>
        <w:tabs>
          <w:tab w:val="num" w:pos="0"/>
        </w:tabs>
        <w:ind w:left="283" w:hanging="283"/>
      </w:pPr>
      <w:rPr>
        <w:rFonts w:ascii="Symbol" w:hAnsi="Symbol" w:hint="default"/>
        <w:b w:val="0"/>
        <w:i w:val="0"/>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7D142DAF"/>
    <w:multiLevelType w:val="singleLevel"/>
    <w:tmpl w:val="BDE23C60"/>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13" w15:restartNumberingAfterBreak="0">
    <w:nsid w:val="7E821F56"/>
    <w:multiLevelType w:val="singleLevel"/>
    <w:tmpl w:val="23CE16A8"/>
    <w:lvl w:ilvl="0">
      <w:start w:val="1"/>
      <w:numFmt w:val="bullet"/>
      <w:lvlRestart w:val="0"/>
      <w:lvlText w:val=""/>
      <w:lvlJc w:val="left"/>
      <w:pPr>
        <w:tabs>
          <w:tab w:val="num" w:pos="849"/>
        </w:tabs>
        <w:ind w:left="1132" w:hanging="283"/>
      </w:pPr>
      <w:rPr>
        <w:rFonts w:ascii="Symbol" w:hAnsi="Symbol" w:hint="default"/>
        <w:b w:val="0"/>
        <w:i w:val="0"/>
        <w:sz w:val="22"/>
      </w:rPr>
    </w:lvl>
  </w:abstractNum>
  <w:num w:numId="1">
    <w:abstractNumId w:val="0"/>
  </w:num>
  <w:num w:numId="2">
    <w:abstractNumId w:val="9"/>
  </w:num>
  <w:num w:numId="3">
    <w:abstractNumId w:val="5"/>
  </w:num>
  <w:num w:numId="4">
    <w:abstractNumId w:val="8"/>
  </w:num>
  <w:num w:numId="5">
    <w:abstractNumId w:val="13"/>
  </w:num>
  <w:num w:numId="6">
    <w:abstractNumId w:val="4"/>
  </w:num>
  <w:num w:numId="7">
    <w:abstractNumId w:val="12"/>
  </w:num>
  <w:num w:numId="8">
    <w:abstractNumId w:val="7"/>
  </w:num>
  <w:num w:numId="9">
    <w:abstractNumId w:val="6"/>
  </w:num>
  <w:num w:numId="10">
    <w:abstractNumId w:val="2"/>
  </w:num>
  <w:num w:numId="11">
    <w:abstractNumId w:val="1"/>
  </w:num>
  <w:num w:numId="12">
    <w:abstractNumId w:val="11"/>
  </w:num>
  <w:num w:numId="13">
    <w:abstractNumId w:val="10"/>
  </w:num>
  <w:num w:numId="1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567"/>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F8F"/>
    <w:rsid w:val="00005AB9"/>
    <w:rsid w:val="00005EB9"/>
    <w:rsid w:val="00006E24"/>
    <w:rsid w:val="00007A40"/>
    <w:rsid w:val="00020857"/>
    <w:rsid w:val="00020C5B"/>
    <w:rsid w:val="00020E6E"/>
    <w:rsid w:val="0002364E"/>
    <w:rsid w:val="00031A4B"/>
    <w:rsid w:val="00033913"/>
    <w:rsid w:val="00033E5B"/>
    <w:rsid w:val="000357A8"/>
    <w:rsid w:val="000430A6"/>
    <w:rsid w:val="00044923"/>
    <w:rsid w:val="00045138"/>
    <w:rsid w:val="0005249C"/>
    <w:rsid w:val="000534A5"/>
    <w:rsid w:val="0005680D"/>
    <w:rsid w:val="00063FB4"/>
    <w:rsid w:val="0006598A"/>
    <w:rsid w:val="0006793E"/>
    <w:rsid w:val="00072E0F"/>
    <w:rsid w:val="000735E5"/>
    <w:rsid w:val="0007392F"/>
    <w:rsid w:val="00087B39"/>
    <w:rsid w:val="00091D69"/>
    <w:rsid w:val="00096502"/>
    <w:rsid w:val="000A160E"/>
    <w:rsid w:val="000A3C90"/>
    <w:rsid w:val="000A49BB"/>
    <w:rsid w:val="000B3E88"/>
    <w:rsid w:val="000C3441"/>
    <w:rsid w:val="000C561A"/>
    <w:rsid w:val="000C7259"/>
    <w:rsid w:val="000C7F53"/>
    <w:rsid w:val="000D07F2"/>
    <w:rsid w:val="000D2E05"/>
    <w:rsid w:val="000D2F8E"/>
    <w:rsid w:val="000F196B"/>
    <w:rsid w:val="000F49AC"/>
    <w:rsid w:val="00105361"/>
    <w:rsid w:val="001101F8"/>
    <w:rsid w:val="0011206F"/>
    <w:rsid w:val="0011656A"/>
    <w:rsid w:val="001168E1"/>
    <w:rsid w:val="00121DFE"/>
    <w:rsid w:val="0012220C"/>
    <w:rsid w:val="00131B64"/>
    <w:rsid w:val="00136EA3"/>
    <w:rsid w:val="00137575"/>
    <w:rsid w:val="00142F85"/>
    <w:rsid w:val="00144231"/>
    <w:rsid w:val="00150434"/>
    <w:rsid w:val="00155721"/>
    <w:rsid w:val="0016503F"/>
    <w:rsid w:val="0016674F"/>
    <w:rsid w:val="00167CA0"/>
    <w:rsid w:val="0017120D"/>
    <w:rsid w:val="001714F6"/>
    <w:rsid w:val="00176168"/>
    <w:rsid w:val="00177158"/>
    <w:rsid w:val="00182D11"/>
    <w:rsid w:val="00184FD4"/>
    <w:rsid w:val="00186B04"/>
    <w:rsid w:val="00186F1E"/>
    <w:rsid w:val="00190836"/>
    <w:rsid w:val="00193930"/>
    <w:rsid w:val="001963A5"/>
    <w:rsid w:val="00196F1E"/>
    <w:rsid w:val="00197FCA"/>
    <w:rsid w:val="001A27DB"/>
    <w:rsid w:val="001A6852"/>
    <w:rsid w:val="001B286A"/>
    <w:rsid w:val="001B2D02"/>
    <w:rsid w:val="001B3647"/>
    <w:rsid w:val="001B38C2"/>
    <w:rsid w:val="001B77FA"/>
    <w:rsid w:val="001C0ABE"/>
    <w:rsid w:val="001C5852"/>
    <w:rsid w:val="001D45F0"/>
    <w:rsid w:val="001D684F"/>
    <w:rsid w:val="001E4A33"/>
    <w:rsid w:val="001E5C27"/>
    <w:rsid w:val="001F602B"/>
    <w:rsid w:val="001F6AC8"/>
    <w:rsid w:val="002037D5"/>
    <w:rsid w:val="00206F90"/>
    <w:rsid w:val="00211A06"/>
    <w:rsid w:val="00212B03"/>
    <w:rsid w:val="00215C10"/>
    <w:rsid w:val="00215C2D"/>
    <w:rsid w:val="00222F31"/>
    <w:rsid w:val="00224034"/>
    <w:rsid w:val="002252C4"/>
    <w:rsid w:val="0023183E"/>
    <w:rsid w:val="00235138"/>
    <w:rsid w:val="00243E36"/>
    <w:rsid w:val="0024540B"/>
    <w:rsid w:val="00245EF4"/>
    <w:rsid w:val="00250E11"/>
    <w:rsid w:val="00251383"/>
    <w:rsid w:val="002522C9"/>
    <w:rsid w:val="00252A21"/>
    <w:rsid w:val="0025387E"/>
    <w:rsid w:val="00253E4F"/>
    <w:rsid w:val="002542E4"/>
    <w:rsid w:val="00257BC9"/>
    <w:rsid w:val="00261053"/>
    <w:rsid w:val="00262FDE"/>
    <w:rsid w:val="002630AA"/>
    <w:rsid w:val="00263629"/>
    <w:rsid w:val="002769BD"/>
    <w:rsid w:val="002809EA"/>
    <w:rsid w:val="00284962"/>
    <w:rsid w:val="00287B0E"/>
    <w:rsid w:val="0029430D"/>
    <w:rsid w:val="002A0B53"/>
    <w:rsid w:val="002A0EEF"/>
    <w:rsid w:val="002B14CF"/>
    <w:rsid w:val="002B2DF7"/>
    <w:rsid w:val="002C3BF4"/>
    <w:rsid w:val="002C749F"/>
    <w:rsid w:val="002D0EC4"/>
    <w:rsid w:val="002F059B"/>
    <w:rsid w:val="002F3487"/>
    <w:rsid w:val="002F5B0B"/>
    <w:rsid w:val="002F65D1"/>
    <w:rsid w:val="00300924"/>
    <w:rsid w:val="0030596E"/>
    <w:rsid w:val="003073C3"/>
    <w:rsid w:val="00307B4D"/>
    <w:rsid w:val="00323637"/>
    <w:rsid w:val="00324E8A"/>
    <w:rsid w:val="00331D87"/>
    <w:rsid w:val="00331E7B"/>
    <w:rsid w:val="00332850"/>
    <w:rsid w:val="00334478"/>
    <w:rsid w:val="003346B4"/>
    <w:rsid w:val="00334AE6"/>
    <w:rsid w:val="003365D0"/>
    <w:rsid w:val="003439AB"/>
    <w:rsid w:val="00344975"/>
    <w:rsid w:val="0035339C"/>
    <w:rsid w:val="00354695"/>
    <w:rsid w:val="0035549B"/>
    <w:rsid w:val="003755C8"/>
    <w:rsid w:val="00375687"/>
    <w:rsid w:val="00376714"/>
    <w:rsid w:val="00380AE0"/>
    <w:rsid w:val="00383324"/>
    <w:rsid w:val="00387A75"/>
    <w:rsid w:val="003904FD"/>
    <w:rsid w:val="00394254"/>
    <w:rsid w:val="003A29E8"/>
    <w:rsid w:val="003C2BFB"/>
    <w:rsid w:val="003C3AB6"/>
    <w:rsid w:val="003C436B"/>
    <w:rsid w:val="003C5337"/>
    <w:rsid w:val="003C5F92"/>
    <w:rsid w:val="003D7A8C"/>
    <w:rsid w:val="003D7C00"/>
    <w:rsid w:val="003E56E5"/>
    <w:rsid w:val="003E7E60"/>
    <w:rsid w:val="003F00D4"/>
    <w:rsid w:val="003F2209"/>
    <w:rsid w:val="003F3BAD"/>
    <w:rsid w:val="003F3D39"/>
    <w:rsid w:val="003F5D45"/>
    <w:rsid w:val="003F646A"/>
    <w:rsid w:val="003F6761"/>
    <w:rsid w:val="003F6A0A"/>
    <w:rsid w:val="003F6CEC"/>
    <w:rsid w:val="004024F5"/>
    <w:rsid w:val="00402DE1"/>
    <w:rsid w:val="00403D8B"/>
    <w:rsid w:val="004058F1"/>
    <w:rsid w:val="00407E7D"/>
    <w:rsid w:val="0041283D"/>
    <w:rsid w:val="00413AB4"/>
    <w:rsid w:val="00415996"/>
    <w:rsid w:val="00421373"/>
    <w:rsid w:val="00421FB7"/>
    <w:rsid w:val="0042235E"/>
    <w:rsid w:val="00426D3F"/>
    <w:rsid w:val="0042763B"/>
    <w:rsid w:val="0043024C"/>
    <w:rsid w:val="00436706"/>
    <w:rsid w:val="00437292"/>
    <w:rsid w:val="00443D38"/>
    <w:rsid w:val="00446EC6"/>
    <w:rsid w:val="00450E7A"/>
    <w:rsid w:val="00456AF8"/>
    <w:rsid w:val="00470B15"/>
    <w:rsid w:val="0047168B"/>
    <w:rsid w:val="00475869"/>
    <w:rsid w:val="00475A77"/>
    <w:rsid w:val="00481319"/>
    <w:rsid w:val="00481512"/>
    <w:rsid w:val="004866A9"/>
    <w:rsid w:val="004869A0"/>
    <w:rsid w:val="00492774"/>
    <w:rsid w:val="00496D7A"/>
    <w:rsid w:val="004A31BC"/>
    <w:rsid w:val="004A3F1A"/>
    <w:rsid w:val="004A3F45"/>
    <w:rsid w:val="004A61F5"/>
    <w:rsid w:val="004B1AFA"/>
    <w:rsid w:val="004B7088"/>
    <w:rsid w:val="004C5B76"/>
    <w:rsid w:val="004D02CD"/>
    <w:rsid w:val="004D0B24"/>
    <w:rsid w:val="004D4B90"/>
    <w:rsid w:val="004D6B95"/>
    <w:rsid w:val="004D7F41"/>
    <w:rsid w:val="004E006F"/>
    <w:rsid w:val="004E03A2"/>
    <w:rsid w:val="004E317E"/>
    <w:rsid w:val="004E386C"/>
    <w:rsid w:val="004E3954"/>
    <w:rsid w:val="004E5856"/>
    <w:rsid w:val="004F2330"/>
    <w:rsid w:val="004F53C6"/>
    <w:rsid w:val="004F55C6"/>
    <w:rsid w:val="004F69DB"/>
    <w:rsid w:val="004F6B87"/>
    <w:rsid w:val="00501C2D"/>
    <w:rsid w:val="00502637"/>
    <w:rsid w:val="00511140"/>
    <w:rsid w:val="0051234C"/>
    <w:rsid w:val="00513CFE"/>
    <w:rsid w:val="00523B6A"/>
    <w:rsid w:val="00525F6C"/>
    <w:rsid w:val="005307B8"/>
    <w:rsid w:val="00532615"/>
    <w:rsid w:val="00537D49"/>
    <w:rsid w:val="00546AB4"/>
    <w:rsid w:val="005514E5"/>
    <w:rsid w:val="00557430"/>
    <w:rsid w:val="00563C84"/>
    <w:rsid w:val="005762F6"/>
    <w:rsid w:val="00581888"/>
    <w:rsid w:val="00584FBE"/>
    <w:rsid w:val="00585483"/>
    <w:rsid w:val="00587378"/>
    <w:rsid w:val="00587C05"/>
    <w:rsid w:val="00590AAB"/>
    <w:rsid w:val="005938C3"/>
    <w:rsid w:val="0059426C"/>
    <w:rsid w:val="0059468C"/>
    <w:rsid w:val="00595125"/>
    <w:rsid w:val="00596F21"/>
    <w:rsid w:val="005B1CDD"/>
    <w:rsid w:val="005B1E19"/>
    <w:rsid w:val="005B2C4D"/>
    <w:rsid w:val="005B55FC"/>
    <w:rsid w:val="005B5CD2"/>
    <w:rsid w:val="005C2D5E"/>
    <w:rsid w:val="005C3B81"/>
    <w:rsid w:val="005C47CD"/>
    <w:rsid w:val="005C650C"/>
    <w:rsid w:val="005D086C"/>
    <w:rsid w:val="005D11D3"/>
    <w:rsid w:val="005D4E1F"/>
    <w:rsid w:val="005D4FB3"/>
    <w:rsid w:val="005D6F20"/>
    <w:rsid w:val="005E2F07"/>
    <w:rsid w:val="005E2FEA"/>
    <w:rsid w:val="005F314B"/>
    <w:rsid w:val="005F790A"/>
    <w:rsid w:val="00605F8D"/>
    <w:rsid w:val="00611AF2"/>
    <w:rsid w:val="0061212B"/>
    <w:rsid w:val="006127AF"/>
    <w:rsid w:val="00615FB2"/>
    <w:rsid w:val="00616B76"/>
    <w:rsid w:val="00617BD1"/>
    <w:rsid w:val="00617CE8"/>
    <w:rsid w:val="006278A0"/>
    <w:rsid w:val="0063095F"/>
    <w:rsid w:val="00634A41"/>
    <w:rsid w:val="00646AC2"/>
    <w:rsid w:val="00650390"/>
    <w:rsid w:val="00652D57"/>
    <w:rsid w:val="00654DAB"/>
    <w:rsid w:val="00657875"/>
    <w:rsid w:val="0066204A"/>
    <w:rsid w:val="0066643E"/>
    <w:rsid w:val="0066778A"/>
    <w:rsid w:val="00670E3C"/>
    <w:rsid w:val="00677F57"/>
    <w:rsid w:val="00681088"/>
    <w:rsid w:val="00684983"/>
    <w:rsid w:val="0069577E"/>
    <w:rsid w:val="0069634B"/>
    <w:rsid w:val="00696623"/>
    <w:rsid w:val="006A04E9"/>
    <w:rsid w:val="006A4A03"/>
    <w:rsid w:val="006A7543"/>
    <w:rsid w:val="006B4D69"/>
    <w:rsid w:val="006B725C"/>
    <w:rsid w:val="006C273D"/>
    <w:rsid w:val="006C5C4F"/>
    <w:rsid w:val="006C6282"/>
    <w:rsid w:val="006C762A"/>
    <w:rsid w:val="006D04D8"/>
    <w:rsid w:val="006D07F8"/>
    <w:rsid w:val="006D5FF9"/>
    <w:rsid w:val="006E0772"/>
    <w:rsid w:val="006E0F86"/>
    <w:rsid w:val="006F0B15"/>
    <w:rsid w:val="006F0DCC"/>
    <w:rsid w:val="006F30F7"/>
    <w:rsid w:val="00703DF9"/>
    <w:rsid w:val="007048EB"/>
    <w:rsid w:val="00704FBB"/>
    <w:rsid w:val="0070601B"/>
    <w:rsid w:val="0070726A"/>
    <w:rsid w:val="0071226B"/>
    <w:rsid w:val="00717040"/>
    <w:rsid w:val="007430D5"/>
    <w:rsid w:val="00750601"/>
    <w:rsid w:val="007514B6"/>
    <w:rsid w:val="00760954"/>
    <w:rsid w:val="00763DBE"/>
    <w:rsid w:val="007655D0"/>
    <w:rsid w:val="00773144"/>
    <w:rsid w:val="00774BB2"/>
    <w:rsid w:val="007750A2"/>
    <w:rsid w:val="00777C40"/>
    <w:rsid w:val="007817D6"/>
    <w:rsid w:val="007857D8"/>
    <w:rsid w:val="0078762E"/>
    <w:rsid w:val="00787912"/>
    <w:rsid w:val="0079177A"/>
    <w:rsid w:val="00794836"/>
    <w:rsid w:val="007948D5"/>
    <w:rsid w:val="007A05DF"/>
    <w:rsid w:val="007A15C9"/>
    <w:rsid w:val="007A6676"/>
    <w:rsid w:val="007B7FF5"/>
    <w:rsid w:val="007C3FC6"/>
    <w:rsid w:val="007D2CE9"/>
    <w:rsid w:val="007D4FED"/>
    <w:rsid w:val="007D69DA"/>
    <w:rsid w:val="007D70B1"/>
    <w:rsid w:val="007D7140"/>
    <w:rsid w:val="007E1CDB"/>
    <w:rsid w:val="007E408C"/>
    <w:rsid w:val="007E46BB"/>
    <w:rsid w:val="007E7E21"/>
    <w:rsid w:val="007F0460"/>
    <w:rsid w:val="007F0DA2"/>
    <w:rsid w:val="007F39CE"/>
    <w:rsid w:val="007F5E0D"/>
    <w:rsid w:val="00801085"/>
    <w:rsid w:val="00801A89"/>
    <w:rsid w:val="0080595C"/>
    <w:rsid w:val="00807B26"/>
    <w:rsid w:val="00812138"/>
    <w:rsid w:val="008151F2"/>
    <w:rsid w:val="0081777A"/>
    <w:rsid w:val="00820793"/>
    <w:rsid w:val="008210E0"/>
    <w:rsid w:val="00824079"/>
    <w:rsid w:val="008251A9"/>
    <w:rsid w:val="00831F0A"/>
    <w:rsid w:val="00833A78"/>
    <w:rsid w:val="008430F4"/>
    <w:rsid w:val="0084585F"/>
    <w:rsid w:val="00853E53"/>
    <w:rsid w:val="00864D76"/>
    <w:rsid w:val="008656C9"/>
    <w:rsid w:val="0086711C"/>
    <w:rsid w:val="00867535"/>
    <w:rsid w:val="00875C5B"/>
    <w:rsid w:val="00880296"/>
    <w:rsid w:val="00880EB6"/>
    <w:rsid w:val="00883C5F"/>
    <w:rsid w:val="00891C7D"/>
    <w:rsid w:val="00892FA7"/>
    <w:rsid w:val="008A3301"/>
    <w:rsid w:val="008A429C"/>
    <w:rsid w:val="008A4DF1"/>
    <w:rsid w:val="008A5636"/>
    <w:rsid w:val="008B125E"/>
    <w:rsid w:val="008B241C"/>
    <w:rsid w:val="008B408B"/>
    <w:rsid w:val="008B4F11"/>
    <w:rsid w:val="008C1F8E"/>
    <w:rsid w:val="008C2362"/>
    <w:rsid w:val="008C2868"/>
    <w:rsid w:val="008C3049"/>
    <w:rsid w:val="008C4E20"/>
    <w:rsid w:val="008C5B8F"/>
    <w:rsid w:val="008D29B3"/>
    <w:rsid w:val="008D4AE9"/>
    <w:rsid w:val="008D5CF3"/>
    <w:rsid w:val="008D7D39"/>
    <w:rsid w:val="008E4574"/>
    <w:rsid w:val="008E70B9"/>
    <w:rsid w:val="008F4016"/>
    <w:rsid w:val="008F42FE"/>
    <w:rsid w:val="008F4A00"/>
    <w:rsid w:val="008F5402"/>
    <w:rsid w:val="008F56A8"/>
    <w:rsid w:val="0090053A"/>
    <w:rsid w:val="00901C2A"/>
    <w:rsid w:val="009118C7"/>
    <w:rsid w:val="009225B6"/>
    <w:rsid w:val="00922C06"/>
    <w:rsid w:val="00925397"/>
    <w:rsid w:val="00926D21"/>
    <w:rsid w:val="00930483"/>
    <w:rsid w:val="00933A21"/>
    <w:rsid w:val="00934C10"/>
    <w:rsid w:val="0093662A"/>
    <w:rsid w:val="0094060C"/>
    <w:rsid w:val="00940F24"/>
    <w:rsid w:val="0094189E"/>
    <w:rsid w:val="009565AA"/>
    <w:rsid w:val="009606A5"/>
    <w:rsid w:val="00962F1F"/>
    <w:rsid w:val="00963344"/>
    <w:rsid w:val="00965304"/>
    <w:rsid w:val="00971293"/>
    <w:rsid w:val="00973A3B"/>
    <w:rsid w:val="00983EAE"/>
    <w:rsid w:val="0098760B"/>
    <w:rsid w:val="0099699B"/>
    <w:rsid w:val="009A11DD"/>
    <w:rsid w:val="009A4368"/>
    <w:rsid w:val="009A4E42"/>
    <w:rsid w:val="009A6A5B"/>
    <w:rsid w:val="009B30AA"/>
    <w:rsid w:val="009B5217"/>
    <w:rsid w:val="009C48DE"/>
    <w:rsid w:val="009E1E1E"/>
    <w:rsid w:val="009E33E3"/>
    <w:rsid w:val="009E4D8E"/>
    <w:rsid w:val="009E7F16"/>
    <w:rsid w:val="009F134F"/>
    <w:rsid w:val="009F5052"/>
    <w:rsid w:val="00A04C85"/>
    <w:rsid w:val="00A100F0"/>
    <w:rsid w:val="00A156E6"/>
    <w:rsid w:val="00A238FD"/>
    <w:rsid w:val="00A27D86"/>
    <w:rsid w:val="00A33151"/>
    <w:rsid w:val="00A36970"/>
    <w:rsid w:val="00A41EB4"/>
    <w:rsid w:val="00A44BFF"/>
    <w:rsid w:val="00A501E3"/>
    <w:rsid w:val="00A50F0C"/>
    <w:rsid w:val="00A56441"/>
    <w:rsid w:val="00A65226"/>
    <w:rsid w:val="00A65F46"/>
    <w:rsid w:val="00A736DD"/>
    <w:rsid w:val="00A82869"/>
    <w:rsid w:val="00A8380E"/>
    <w:rsid w:val="00A8758C"/>
    <w:rsid w:val="00AA127E"/>
    <w:rsid w:val="00AA19AE"/>
    <w:rsid w:val="00AA3750"/>
    <w:rsid w:val="00AA423D"/>
    <w:rsid w:val="00AA6A95"/>
    <w:rsid w:val="00AB10DE"/>
    <w:rsid w:val="00AB3668"/>
    <w:rsid w:val="00AB5ED7"/>
    <w:rsid w:val="00AC08A3"/>
    <w:rsid w:val="00AC0B4C"/>
    <w:rsid w:val="00AC7A15"/>
    <w:rsid w:val="00AD0AEE"/>
    <w:rsid w:val="00AD49E3"/>
    <w:rsid w:val="00AD4B4F"/>
    <w:rsid w:val="00AE22B2"/>
    <w:rsid w:val="00AE5F70"/>
    <w:rsid w:val="00AF0616"/>
    <w:rsid w:val="00AF0E28"/>
    <w:rsid w:val="00AF6F9B"/>
    <w:rsid w:val="00B01409"/>
    <w:rsid w:val="00B05735"/>
    <w:rsid w:val="00B10DBD"/>
    <w:rsid w:val="00B15629"/>
    <w:rsid w:val="00B162A1"/>
    <w:rsid w:val="00B22F13"/>
    <w:rsid w:val="00B2372C"/>
    <w:rsid w:val="00B31970"/>
    <w:rsid w:val="00B32F70"/>
    <w:rsid w:val="00B373D0"/>
    <w:rsid w:val="00B43AAA"/>
    <w:rsid w:val="00B51F97"/>
    <w:rsid w:val="00B53139"/>
    <w:rsid w:val="00B53719"/>
    <w:rsid w:val="00B562CE"/>
    <w:rsid w:val="00B62DE2"/>
    <w:rsid w:val="00B63B16"/>
    <w:rsid w:val="00B74417"/>
    <w:rsid w:val="00B77246"/>
    <w:rsid w:val="00B866CD"/>
    <w:rsid w:val="00B87233"/>
    <w:rsid w:val="00B90F84"/>
    <w:rsid w:val="00B93034"/>
    <w:rsid w:val="00B97C5D"/>
    <w:rsid w:val="00BA1290"/>
    <w:rsid w:val="00BB2792"/>
    <w:rsid w:val="00BB76BF"/>
    <w:rsid w:val="00BC1AD1"/>
    <w:rsid w:val="00BC4A58"/>
    <w:rsid w:val="00BC613B"/>
    <w:rsid w:val="00BD51D9"/>
    <w:rsid w:val="00BD64E2"/>
    <w:rsid w:val="00BD6731"/>
    <w:rsid w:val="00BE4995"/>
    <w:rsid w:val="00BF1AD2"/>
    <w:rsid w:val="00BF429A"/>
    <w:rsid w:val="00BF62BE"/>
    <w:rsid w:val="00C021D6"/>
    <w:rsid w:val="00C05FCC"/>
    <w:rsid w:val="00C07126"/>
    <w:rsid w:val="00C133A6"/>
    <w:rsid w:val="00C16853"/>
    <w:rsid w:val="00C25912"/>
    <w:rsid w:val="00C263F0"/>
    <w:rsid w:val="00C30ED6"/>
    <w:rsid w:val="00C33D41"/>
    <w:rsid w:val="00C368A2"/>
    <w:rsid w:val="00C40AFD"/>
    <w:rsid w:val="00C4114C"/>
    <w:rsid w:val="00C41E20"/>
    <w:rsid w:val="00C42E3E"/>
    <w:rsid w:val="00C519E4"/>
    <w:rsid w:val="00C51C13"/>
    <w:rsid w:val="00C525A5"/>
    <w:rsid w:val="00C5300F"/>
    <w:rsid w:val="00C65E60"/>
    <w:rsid w:val="00C66C4D"/>
    <w:rsid w:val="00C66CE0"/>
    <w:rsid w:val="00C71BED"/>
    <w:rsid w:val="00C74FD2"/>
    <w:rsid w:val="00C7562B"/>
    <w:rsid w:val="00C80478"/>
    <w:rsid w:val="00C81B53"/>
    <w:rsid w:val="00C82AD2"/>
    <w:rsid w:val="00C84BC4"/>
    <w:rsid w:val="00C90FB6"/>
    <w:rsid w:val="00C9220E"/>
    <w:rsid w:val="00C932BD"/>
    <w:rsid w:val="00C93429"/>
    <w:rsid w:val="00CA16C5"/>
    <w:rsid w:val="00CA415A"/>
    <w:rsid w:val="00CA4884"/>
    <w:rsid w:val="00CA5E04"/>
    <w:rsid w:val="00CA7A35"/>
    <w:rsid w:val="00CB10B0"/>
    <w:rsid w:val="00CB1536"/>
    <w:rsid w:val="00CB3F80"/>
    <w:rsid w:val="00CB7FB8"/>
    <w:rsid w:val="00CC1F71"/>
    <w:rsid w:val="00CC5EB3"/>
    <w:rsid w:val="00CD072A"/>
    <w:rsid w:val="00CD0E7B"/>
    <w:rsid w:val="00CD2ABD"/>
    <w:rsid w:val="00CD4024"/>
    <w:rsid w:val="00CD4617"/>
    <w:rsid w:val="00CD4855"/>
    <w:rsid w:val="00CE579C"/>
    <w:rsid w:val="00CE6D43"/>
    <w:rsid w:val="00CE7888"/>
    <w:rsid w:val="00CF4BBE"/>
    <w:rsid w:val="00D05AE9"/>
    <w:rsid w:val="00D07028"/>
    <w:rsid w:val="00D10E1C"/>
    <w:rsid w:val="00D110F8"/>
    <w:rsid w:val="00D161A3"/>
    <w:rsid w:val="00D22E49"/>
    <w:rsid w:val="00D23716"/>
    <w:rsid w:val="00D25ED8"/>
    <w:rsid w:val="00D265B6"/>
    <w:rsid w:val="00D27F8F"/>
    <w:rsid w:val="00D316B8"/>
    <w:rsid w:val="00D31CFC"/>
    <w:rsid w:val="00D3255D"/>
    <w:rsid w:val="00D340C3"/>
    <w:rsid w:val="00D409CD"/>
    <w:rsid w:val="00D420DE"/>
    <w:rsid w:val="00D423D4"/>
    <w:rsid w:val="00D42CAF"/>
    <w:rsid w:val="00D53DC9"/>
    <w:rsid w:val="00D601EF"/>
    <w:rsid w:val="00D61533"/>
    <w:rsid w:val="00D63B2F"/>
    <w:rsid w:val="00D64F50"/>
    <w:rsid w:val="00D66ABF"/>
    <w:rsid w:val="00D67BC3"/>
    <w:rsid w:val="00D67C21"/>
    <w:rsid w:val="00D70747"/>
    <w:rsid w:val="00D7261D"/>
    <w:rsid w:val="00D755FC"/>
    <w:rsid w:val="00D76B6D"/>
    <w:rsid w:val="00D84D07"/>
    <w:rsid w:val="00D8526A"/>
    <w:rsid w:val="00D90E91"/>
    <w:rsid w:val="00DA3115"/>
    <w:rsid w:val="00DB0A1B"/>
    <w:rsid w:val="00DC1347"/>
    <w:rsid w:val="00DC39F1"/>
    <w:rsid w:val="00DD267A"/>
    <w:rsid w:val="00DE4B35"/>
    <w:rsid w:val="00DF0748"/>
    <w:rsid w:val="00DF19C1"/>
    <w:rsid w:val="00DF4FBD"/>
    <w:rsid w:val="00DF54CA"/>
    <w:rsid w:val="00DF5B64"/>
    <w:rsid w:val="00DF77EE"/>
    <w:rsid w:val="00E02794"/>
    <w:rsid w:val="00E031A3"/>
    <w:rsid w:val="00E043E3"/>
    <w:rsid w:val="00E0505B"/>
    <w:rsid w:val="00E0701C"/>
    <w:rsid w:val="00E07356"/>
    <w:rsid w:val="00E11280"/>
    <w:rsid w:val="00E12359"/>
    <w:rsid w:val="00E152FF"/>
    <w:rsid w:val="00E2461B"/>
    <w:rsid w:val="00E24886"/>
    <w:rsid w:val="00E276FB"/>
    <w:rsid w:val="00E32595"/>
    <w:rsid w:val="00E32BAA"/>
    <w:rsid w:val="00E33A74"/>
    <w:rsid w:val="00E4030B"/>
    <w:rsid w:val="00E41D56"/>
    <w:rsid w:val="00E457DF"/>
    <w:rsid w:val="00E46642"/>
    <w:rsid w:val="00E4718A"/>
    <w:rsid w:val="00E5139A"/>
    <w:rsid w:val="00E5413D"/>
    <w:rsid w:val="00E57977"/>
    <w:rsid w:val="00E635D7"/>
    <w:rsid w:val="00E63C50"/>
    <w:rsid w:val="00E70576"/>
    <w:rsid w:val="00E8199E"/>
    <w:rsid w:val="00E83954"/>
    <w:rsid w:val="00E91730"/>
    <w:rsid w:val="00E96F04"/>
    <w:rsid w:val="00E97AEC"/>
    <w:rsid w:val="00EA20FE"/>
    <w:rsid w:val="00EA6951"/>
    <w:rsid w:val="00EB491E"/>
    <w:rsid w:val="00EB681B"/>
    <w:rsid w:val="00EC442E"/>
    <w:rsid w:val="00EC4FAD"/>
    <w:rsid w:val="00EE1B63"/>
    <w:rsid w:val="00EE3CFA"/>
    <w:rsid w:val="00EE4E3B"/>
    <w:rsid w:val="00EE69E4"/>
    <w:rsid w:val="00EF2A7F"/>
    <w:rsid w:val="00EF7E90"/>
    <w:rsid w:val="00F002B6"/>
    <w:rsid w:val="00F018DD"/>
    <w:rsid w:val="00F10AFE"/>
    <w:rsid w:val="00F13E3B"/>
    <w:rsid w:val="00F15C6C"/>
    <w:rsid w:val="00F17173"/>
    <w:rsid w:val="00F224DC"/>
    <w:rsid w:val="00F22834"/>
    <w:rsid w:val="00F2687F"/>
    <w:rsid w:val="00F27F29"/>
    <w:rsid w:val="00F3128F"/>
    <w:rsid w:val="00F32D54"/>
    <w:rsid w:val="00F36C54"/>
    <w:rsid w:val="00F418EA"/>
    <w:rsid w:val="00F41A29"/>
    <w:rsid w:val="00F44C1C"/>
    <w:rsid w:val="00F518DF"/>
    <w:rsid w:val="00F51EF0"/>
    <w:rsid w:val="00F544DB"/>
    <w:rsid w:val="00F6502E"/>
    <w:rsid w:val="00F65663"/>
    <w:rsid w:val="00F75147"/>
    <w:rsid w:val="00F75560"/>
    <w:rsid w:val="00F756C0"/>
    <w:rsid w:val="00F75A40"/>
    <w:rsid w:val="00F77637"/>
    <w:rsid w:val="00F80FAC"/>
    <w:rsid w:val="00F8435D"/>
    <w:rsid w:val="00F87DD0"/>
    <w:rsid w:val="00F93360"/>
    <w:rsid w:val="00F93FE4"/>
    <w:rsid w:val="00F963A3"/>
    <w:rsid w:val="00F97E4E"/>
    <w:rsid w:val="00FA217B"/>
    <w:rsid w:val="00FB0388"/>
    <w:rsid w:val="00FB0BC5"/>
    <w:rsid w:val="00FB0BCC"/>
    <w:rsid w:val="00FB2D45"/>
    <w:rsid w:val="00FC0FE5"/>
    <w:rsid w:val="00FC4232"/>
    <w:rsid w:val="00FD1ABC"/>
    <w:rsid w:val="00FD7DDF"/>
    <w:rsid w:val="00FE4199"/>
    <w:rsid w:val="00FE4C92"/>
    <w:rsid w:val="00FF0FAA"/>
    <w:rsid w:val="00FF3759"/>
    <w:rsid w:val="00FF43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100AE4"/>
  <w15:docId w15:val="{001A5E84-E976-4936-AFFA-92E73CBE6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en-GB"/>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qFormat="1"/>
    <w:lsdException w:name="annotation text" w:semiHidden="1" w:uiPriority="0" w:unhideWhenUsed="1"/>
    <w:lsdException w:name="header" w:locked="1" w:semiHidden="1" w:uiPriority="0"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D6731"/>
    <w:pPr>
      <w:overflowPunct w:val="0"/>
      <w:autoSpaceDE w:val="0"/>
      <w:autoSpaceDN w:val="0"/>
      <w:adjustRightInd w:val="0"/>
      <w:spacing w:line="288" w:lineRule="auto"/>
      <w:jc w:val="both"/>
      <w:textAlignment w:val="baseline"/>
    </w:pPr>
    <w:rPr>
      <w:szCs w:val="20"/>
      <w:lang w:eastAsia="en-US" w:bidi="ar-SA"/>
    </w:rPr>
  </w:style>
  <w:style w:type="paragraph" w:styleId="Heading1">
    <w:name w:val="heading 1"/>
    <w:basedOn w:val="Normal"/>
    <w:next w:val="Normal"/>
    <w:link w:val="Heading1Char"/>
    <w:qFormat/>
    <w:rsid w:val="00BD6731"/>
    <w:pPr>
      <w:numPr>
        <w:numId w:val="1"/>
      </w:numPr>
      <w:ind w:left="720" w:hanging="720"/>
      <w:outlineLvl w:val="0"/>
    </w:pPr>
    <w:rPr>
      <w:kern w:val="28"/>
    </w:rPr>
  </w:style>
  <w:style w:type="paragraph" w:styleId="Heading2">
    <w:name w:val="heading 2"/>
    <w:basedOn w:val="Normal"/>
    <w:next w:val="Normal"/>
    <w:link w:val="Heading2Char"/>
    <w:qFormat/>
    <w:rsid w:val="00BD6731"/>
    <w:pPr>
      <w:numPr>
        <w:ilvl w:val="1"/>
        <w:numId w:val="1"/>
      </w:numPr>
      <w:ind w:left="720" w:hanging="720"/>
      <w:outlineLvl w:val="1"/>
    </w:pPr>
  </w:style>
  <w:style w:type="paragraph" w:styleId="Heading3">
    <w:name w:val="heading 3"/>
    <w:basedOn w:val="Normal"/>
    <w:next w:val="Normal"/>
    <w:link w:val="Heading3Char"/>
    <w:qFormat/>
    <w:rsid w:val="00BD6731"/>
    <w:pPr>
      <w:numPr>
        <w:ilvl w:val="2"/>
        <w:numId w:val="1"/>
      </w:numPr>
      <w:ind w:left="720" w:hanging="720"/>
      <w:outlineLvl w:val="2"/>
    </w:pPr>
  </w:style>
  <w:style w:type="paragraph" w:styleId="Heading4">
    <w:name w:val="heading 4"/>
    <w:basedOn w:val="Normal"/>
    <w:next w:val="Normal"/>
    <w:link w:val="Heading4Char"/>
    <w:qFormat/>
    <w:rsid w:val="00BD6731"/>
    <w:pPr>
      <w:numPr>
        <w:ilvl w:val="3"/>
        <w:numId w:val="1"/>
      </w:numPr>
      <w:ind w:left="720" w:hanging="720"/>
      <w:outlineLvl w:val="3"/>
    </w:pPr>
  </w:style>
  <w:style w:type="paragraph" w:styleId="Heading5">
    <w:name w:val="heading 5"/>
    <w:basedOn w:val="Normal"/>
    <w:next w:val="Normal"/>
    <w:link w:val="Heading5Char"/>
    <w:qFormat/>
    <w:rsid w:val="00BD6731"/>
    <w:pPr>
      <w:numPr>
        <w:ilvl w:val="4"/>
        <w:numId w:val="1"/>
      </w:numPr>
      <w:ind w:left="720" w:hanging="720"/>
      <w:outlineLvl w:val="4"/>
    </w:pPr>
  </w:style>
  <w:style w:type="paragraph" w:styleId="Heading6">
    <w:name w:val="heading 6"/>
    <w:basedOn w:val="Normal"/>
    <w:next w:val="Normal"/>
    <w:link w:val="Heading6Char"/>
    <w:qFormat/>
    <w:rsid w:val="00BD6731"/>
    <w:pPr>
      <w:numPr>
        <w:ilvl w:val="5"/>
        <w:numId w:val="1"/>
      </w:numPr>
      <w:ind w:left="720" w:hanging="720"/>
      <w:outlineLvl w:val="5"/>
    </w:pPr>
  </w:style>
  <w:style w:type="paragraph" w:styleId="Heading7">
    <w:name w:val="heading 7"/>
    <w:basedOn w:val="Normal"/>
    <w:next w:val="Normal"/>
    <w:link w:val="Heading7Char"/>
    <w:qFormat/>
    <w:rsid w:val="00BD6731"/>
    <w:pPr>
      <w:numPr>
        <w:ilvl w:val="6"/>
        <w:numId w:val="1"/>
      </w:numPr>
      <w:ind w:left="720" w:hanging="720"/>
      <w:outlineLvl w:val="6"/>
    </w:pPr>
  </w:style>
  <w:style w:type="paragraph" w:styleId="Heading8">
    <w:name w:val="heading 8"/>
    <w:basedOn w:val="Normal"/>
    <w:next w:val="Normal"/>
    <w:link w:val="Heading8Char"/>
    <w:qFormat/>
    <w:rsid w:val="00BD6731"/>
    <w:pPr>
      <w:numPr>
        <w:ilvl w:val="7"/>
        <w:numId w:val="1"/>
      </w:numPr>
      <w:ind w:left="720" w:hanging="720"/>
      <w:outlineLvl w:val="7"/>
    </w:pPr>
  </w:style>
  <w:style w:type="paragraph" w:styleId="Heading9">
    <w:name w:val="heading 9"/>
    <w:basedOn w:val="Normal"/>
    <w:next w:val="Normal"/>
    <w:link w:val="Heading9Char"/>
    <w:qFormat/>
    <w:rsid w:val="00BD6731"/>
    <w:pPr>
      <w:numPr>
        <w:ilvl w:val="8"/>
        <w:numId w:val="1"/>
      </w:numPr>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szCs w:val="20"/>
      <w:lang w:eastAsia="en-US" w:bidi="ar-SA"/>
    </w:rPr>
  </w:style>
  <w:style w:type="character" w:customStyle="1" w:styleId="Heading2Char">
    <w:name w:val="Heading 2 Char"/>
    <w:basedOn w:val="DefaultParagraphFont"/>
    <w:link w:val="Heading2"/>
    <w:locked/>
    <w:rsid w:val="00CB1536"/>
    <w:rPr>
      <w:szCs w:val="20"/>
      <w:lang w:eastAsia="en-US" w:bidi="ar-SA"/>
    </w:rPr>
  </w:style>
  <w:style w:type="character" w:customStyle="1" w:styleId="Heading3Char">
    <w:name w:val="Heading 3 Char"/>
    <w:basedOn w:val="DefaultParagraphFont"/>
    <w:link w:val="Heading3"/>
    <w:locked/>
    <w:rsid w:val="00CB1536"/>
    <w:rPr>
      <w:szCs w:val="20"/>
      <w:lang w:eastAsia="en-US" w:bidi="ar-SA"/>
    </w:rPr>
  </w:style>
  <w:style w:type="character" w:customStyle="1" w:styleId="Heading4Char">
    <w:name w:val="Heading 4 Char"/>
    <w:basedOn w:val="DefaultParagraphFont"/>
    <w:link w:val="Heading4"/>
    <w:locked/>
    <w:rsid w:val="00CB1536"/>
    <w:rPr>
      <w:szCs w:val="20"/>
      <w:lang w:eastAsia="en-US" w:bidi="ar-SA"/>
    </w:rPr>
  </w:style>
  <w:style w:type="character" w:customStyle="1" w:styleId="Heading5Char">
    <w:name w:val="Heading 5 Char"/>
    <w:basedOn w:val="DefaultParagraphFont"/>
    <w:link w:val="Heading5"/>
    <w:locked/>
    <w:rsid w:val="00CB1536"/>
    <w:rPr>
      <w:szCs w:val="20"/>
      <w:lang w:eastAsia="en-US" w:bidi="ar-SA"/>
    </w:rPr>
  </w:style>
  <w:style w:type="character" w:customStyle="1" w:styleId="Heading6Char">
    <w:name w:val="Heading 6 Char"/>
    <w:basedOn w:val="DefaultParagraphFont"/>
    <w:link w:val="Heading6"/>
    <w:locked/>
    <w:rsid w:val="00CB1536"/>
    <w:rPr>
      <w:szCs w:val="20"/>
      <w:lang w:eastAsia="en-US" w:bidi="ar-SA"/>
    </w:rPr>
  </w:style>
  <w:style w:type="character" w:customStyle="1" w:styleId="Heading7Char">
    <w:name w:val="Heading 7 Char"/>
    <w:basedOn w:val="DefaultParagraphFont"/>
    <w:link w:val="Heading7"/>
    <w:locked/>
    <w:rsid w:val="00CB1536"/>
    <w:rPr>
      <w:szCs w:val="20"/>
      <w:lang w:eastAsia="en-US" w:bidi="ar-SA"/>
    </w:rPr>
  </w:style>
  <w:style w:type="character" w:customStyle="1" w:styleId="Heading8Char">
    <w:name w:val="Heading 8 Char"/>
    <w:basedOn w:val="DefaultParagraphFont"/>
    <w:link w:val="Heading8"/>
    <w:locked/>
    <w:rsid w:val="00CB1536"/>
    <w:rPr>
      <w:szCs w:val="20"/>
      <w:lang w:eastAsia="en-US" w:bidi="ar-SA"/>
    </w:rPr>
  </w:style>
  <w:style w:type="character" w:customStyle="1" w:styleId="Heading9Char">
    <w:name w:val="Heading 9 Char"/>
    <w:basedOn w:val="DefaultParagraphFont"/>
    <w:link w:val="Heading9"/>
    <w:locked/>
    <w:rsid w:val="00CB1536"/>
    <w:rPr>
      <w:szCs w:val="20"/>
      <w:lang w:eastAsia="en-US" w:bidi="ar-SA"/>
    </w:rPr>
  </w:style>
  <w:style w:type="paragraph" w:styleId="Footer">
    <w:name w:val="footer"/>
    <w:basedOn w:val="Normal"/>
    <w:link w:val="FooterChar"/>
    <w:rsid w:val="00BD6731"/>
  </w:style>
  <w:style w:type="character" w:customStyle="1" w:styleId="FooterChar">
    <w:name w:val="Footer Char"/>
    <w:basedOn w:val="DefaultParagraphFont"/>
    <w:link w:val="Footer"/>
    <w:locked/>
    <w:rsid w:val="00CB1536"/>
    <w:rPr>
      <w:szCs w:val="20"/>
      <w:lang w:eastAsia="en-US" w:bidi="ar-SA"/>
    </w:rPr>
  </w:style>
  <w:style w:type="paragraph" w:styleId="FootnoteText">
    <w:name w:val="footnote text"/>
    <w:basedOn w:val="Normal"/>
    <w:link w:val="FootnoteTextChar"/>
    <w:rsid w:val="00BD6731"/>
    <w:pPr>
      <w:keepLines/>
      <w:spacing w:after="60" w:line="240" w:lineRule="auto"/>
      <w:ind w:left="720" w:hanging="720"/>
    </w:pPr>
    <w:rPr>
      <w:sz w:val="16"/>
    </w:rPr>
  </w:style>
  <w:style w:type="character" w:customStyle="1" w:styleId="FootnoteTextChar">
    <w:name w:val="Footnote Text Char"/>
    <w:basedOn w:val="DefaultParagraphFont"/>
    <w:link w:val="FootnoteText"/>
    <w:locked/>
    <w:rsid w:val="00CB1536"/>
    <w:rPr>
      <w:sz w:val="16"/>
      <w:szCs w:val="20"/>
      <w:lang w:eastAsia="en-US" w:bidi="ar-SA"/>
    </w:rPr>
  </w:style>
  <w:style w:type="paragraph" w:styleId="Header">
    <w:name w:val="header"/>
    <w:basedOn w:val="Normal"/>
    <w:link w:val="HeaderChar"/>
    <w:rsid w:val="00BD6731"/>
  </w:style>
  <w:style w:type="character" w:customStyle="1" w:styleId="HeaderChar">
    <w:name w:val="Header Char"/>
    <w:basedOn w:val="DefaultParagraphFont"/>
    <w:link w:val="Header"/>
    <w:locked/>
    <w:rsid w:val="00CB1536"/>
    <w:rPr>
      <w:szCs w:val="20"/>
      <w:lang w:eastAsia="en-US" w:bidi="ar-SA"/>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rsid w:val="00BD6731"/>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paragraph" w:styleId="BalloonText">
    <w:name w:val="Balloon Text"/>
    <w:basedOn w:val="Normal"/>
    <w:link w:val="BalloonTextChar"/>
    <w:uiPriority w:val="99"/>
    <w:semiHidden/>
    <w:unhideWhenUsed/>
    <w:rsid w:val="000D2E0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E05"/>
    <w:rPr>
      <w:rFonts w:ascii="Tahoma" w:hAnsi="Tahoma" w:cs="Tahoma"/>
      <w:sz w:val="16"/>
      <w:szCs w:val="16"/>
      <w:lang w:eastAsia="en-US" w:bidi="ar-SA"/>
    </w:rPr>
  </w:style>
  <w:style w:type="paragraph" w:styleId="ListParagraph">
    <w:name w:val="List Paragraph"/>
    <w:basedOn w:val="Normal"/>
    <w:uiPriority w:val="34"/>
    <w:qFormat/>
    <w:rsid w:val="000A16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94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en@eesc.europa.eu"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xUriServ/LexUriServ.do?uri=OJ:L:2012:007:SOM:EN:HTML" TargetMode="External"/><Relationship Id="rId1" Type="http://schemas.openxmlformats.org/officeDocument/2006/relationships/hyperlink" Target="http://eur-lex.europa.eu/LexUriServ/LexUriServ.do?uri=OJ:C:2012:008:SOM: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word2010\Templates\Global\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M Document" ma:contentTypeID="0x010100EA97B91038054C99906057A708A1480A006569393C852D1B41981698C0C702B5A1" ma:contentTypeVersion="4" ma:contentTypeDescription="Defines the documents for Document Manager V2" ma:contentTypeScope="" ma:versionID="f03367117d5e152adf00a8cc29936596">
  <xsd:schema xmlns:xsd="http://www.w3.org/2001/XMLSchema" xmlns:xs="http://www.w3.org/2001/XMLSchema" xmlns:p="http://schemas.microsoft.com/office/2006/metadata/properties" xmlns:ns2="8835a8a4-5a07-4207-ac1e-223f88a8f7af" xmlns:ns3="http://schemas.microsoft.com/sharepoint/v3/fields" xmlns:ns4="fdc3d2aa-8103-4135-a18e-08b5be4f3e76" targetNamespace="http://schemas.microsoft.com/office/2006/metadata/properties" ma:root="true" ma:fieldsID="98b0c0f90ac6cf0caaa37d10a532a094" ns2:_="" ns3:_="" ns4:_="">
    <xsd:import namespace="8835a8a4-5a07-4207-ac1e-223f88a8f7af"/>
    <xsd:import namespace="http://schemas.microsoft.com/sharepoint/v3/fields"/>
    <xsd:import namespace="fdc3d2aa-8103-4135-a18e-08b5be4f3e76"/>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5a8a4-5a07-4207-ac1e-223f88a8f7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f3f0825d-ea3e-46c1-8cce-b7b67f4cb9e0}" ma:internalName="TaxCatchAll" ma:showField="CatchAllData" ma:web="8835a8a4-5a07-4207-ac1e-223f88a8f7a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f3f0825d-ea3e-46c1-8cce-b7b67f4cb9e0}" ma:internalName="TaxCatchAllLabel" ma:readOnly="true" ma:showField="CatchAllDataLabel" ma:web="8835a8a4-5a07-4207-ac1e-223f88a8f7af">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eb6ff32-25da-4603-a073-4ef4c01e5f0e"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eb6ff32-25da-4603-a073-4ef4c01e5f0e"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eb6ff32-25da-4603-a073-4ef4c01e5f0e"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eb6ff32-25da-4603-a073-4ef4c01e5f0e"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5eb6ff32-25da-4603-a073-4ef4c01e5f0e"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5eb6ff32-25da-4603-a073-4ef4c01e5f0e"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5eb6ff32-25da-4603-a073-4ef4c01e5f0e"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3d2aa-8103-4135-a18e-08b5be4f3e76"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835a8a4-5a07-4207-ac1e-223f88a8f7af">3XPXQ63Y2AW3-9-12754</_dlc_DocId>
    <_dlc_DocIdUrl xmlns="8835a8a4-5a07-4207-ac1e-223f88a8f7af">
      <Url>http://dm/EESC/2016/_layouts/DocIdRedir.aspx?ID=3XPXQ63Y2AW3-9-12754</Url>
      <Description>3XPXQ63Y2AW3-9-12754</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APA</TermName>
          <TermId xmlns="http://schemas.microsoft.com/office/infopath/2007/PartnerControls">51e7c348-311d-42d5-8c77-ec17e88062a9</TermId>
        </TermInfo>
      </Terms>
    </DocumentType_0>
    <MeetingNumber xmlns="fdc3d2aa-8103-4135-a18e-08b5be4f3e76" xsi:nil="true"/>
    <Procedure xmlns="8835a8a4-5a07-4207-ac1e-223f88a8f7af"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TEN</TermName>
          <TermId xmlns="http://schemas.microsoft.com/office/infopath/2007/PartnerControls">5e12260d-3aca-41f8-baf2-ad3d18475f10</TermId>
        </TermInfo>
      </Terms>
    </DossierName_0>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8835a8a4-5a07-4207-ac1e-223f88a8f7af">2017-04-27T12:00:00+00:00</ProductionDate>
    <DocumentNumber xmlns="fdc3d2aa-8103-4135-a18e-08b5be4f3e76">5302</DocumentNumber>
    <FicheYear xmlns="8835a8a4-5a07-4207-ac1e-223f88a8f7af">2017</FicheYear>
    <DocumentVersion xmlns="8835a8a4-5a07-4207-ac1e-223f88a8f7af">0</DocumentVersion>
    <DossierNumber xmlns="8835a8a4-5a07-4207-ac1e-223f88a8f7af">605</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TaxCatchAll xmlns="8835a8a4-5a07-4207-ac1e-223f88a8f7af">
      <Value>45</Value>
      <Value>17</Value>
      <Value>84</Value>
      <Value>333</Value>
      <Value>10</Value>
      <Value>28</Value>
      <Value>6</Value>
      <Value>5</Value>
      <Value>4</Value>
      <Value>22</Value>
      <Value>2</Value>
      <Value>1</Value>
    </TaxCatchAll>
    <MeetingDate xmlns="8835a8a4-5a07-4207-ac1e-223f88a8f7af">2017-05-10T12:00:00+00:00</MeetingDate>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8835a8a4-5a07-4207-ac1e-223f88a8f7af">ANGELOVA</Rapporteur>
    <DocumentYear xmlns="8835a8a4-5a07-4207-ac1e-223f88a8f7af">2016</DocumentYear>
    <FicheNumber xmlns="8835a8a4-5a07-4207-ac1e-223f88a8f7af">4083</FicheNumber>
    <DocumentPart xmlns="8835a8a4-5a07-4207-ac1e-223f88a8f7af">0</DocumentPart>
    <AdoptionDate xmlns="8835a8a4-5a07-4207-ac1e-223f88a8f7af" xsi:nil="true"/>
    <MeetingName_0 xmlns="http://schemas.microsoft.com/sharepoint/v3/fields">
      <Terms xmlns="http://schemas.microsoft.com/office/infopath/2007/PartnerControls">
        <TermInfo xmlns="http://schemas.microsoft.com/office/infopath/2007/PartnerControls">
          <TermName xmlns="http://schemas.microsoft.com/office/infopath/2007/PartnerControls">TEN/605</TermName>
          <TermId xmlns="http://schemas.microsoft.com/office/infopath/2007/PartnerControls">e3dfd64e-ea72-493f-9e27-2036e7631843</TermId>
        </TermInfo>
      </Terms>
    </MeetingName_0>
    <RequestingService xmlns="8835a8a4-5a07-4207-ac1e-223f88a8f7af">Transports, énergie, infrastructures, société de l'information</RequestingService>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s>
    </AvailableTranslations_0>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9EDF9-BB4A-4EC1-890C-77E574DF858F}">
  <ds:schemaRefs>
    <ds:schemaRef ds:uri="http://schemas.microsoft.com/sharepoint/events"/>
  </ds:schemaRefs>
</ds:datastoreItem>
</file>

<file path=customXml/itemProps2.xml><?xml version="1.0" encoding="utf-8"?>
<ds:datastoreItem xmlns:ds="http://schemas.openxmlformats.org/officeDocument/2006/customXml" ds:itemID="{E5BFA956-0D27-47A9-B144-1BF4A8F8A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5a8a4-5a07-4207-ac1e-223f88a8f7af"/>
    <ds:schemaRef ds:uri="http://schemas.microsoft.com/sharepoint/v3/fields"/>
    <ds:schemaRef ds:uri="fdc3d2aa-8103-4135-a18e-08b5be4f3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470676-BA11-4F02-B286-5FDA13F4F3A5}">
  <ds:schemaRefs>
    <ds:schemaRef ds:uri="http://schemas.microsoft.com/sharepoint/v3/contenttype/forms"/>
  </ds:schemaRefs>
</ds:datastoreItem>
</file>

<file path=customXml/itemProps4.xml><?xml version="1.0" encoding="utf-8"?>
<ds:datastoreItem xmlns:ds="http://schemas.openxmlformats.org/officeDocument/2006/customXml" ds:itemID="{90CBD04E-6A5E-48AF-A4C2-39AF8D6C755C}">
  <ds:schemaRefs>
    <ds:schemaRef ds:uri="http://schemas.microsoft.com/office/2006/metadata/properties"/>
    <ds:schemaRef ds:uri="http://schemas.microsoft.com/office/infopath/2007/PartnerControls"/>
    <ds:schemaRef ds:uri="8835a8a4-5a07-4207-ac1e-223f88a8f7af"/>
    <ds:schemaRef ds:uri="http://schemas.microsoft.com/sharepoint/v3/fields"/>
    <ds:schemaRef ds:uri="fdc3d2aa-8103-4135-a18e-08b5be4f3e76"/>
  </ds:schemaRefs>
</ds:datastoreItem>
</file>

<file path=customXml/itemProps5.xml><?xml version="1.0" encoding="utf-8"?>
<ds:datastoreItem xmlns:ds="http://schemas.openxmlformats.org/officeDocument/2006/customXml" ds:itemID="{BCE23AC8-B50F-4197-BCA3-B2E083A64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11</Pages>
  <Words>4448</Words>
  <Characters>24465</Characters>
  <Application>Microsoft Office Word</Application>
  <DocSecurity>0</DocSecurity>
  <Lines>203</Lines>
  <Paragraphs>57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Application of the Decision on public compensation for the provision of services of general economic interest (2012/21/EU) (Own-initiative opinion)</vt:lpstr>
      <vt:lpstr>European Agenda on Migration: Second implementation package - A permanent crisis relocation mechanism under the Dublin system</vt:lpstr>
    </vt:vector>
  </TitlesOfParts>
  <Company>CESE-CdR</Company>
  <LinksUpToDate>false</LinksUpToDate>
  <CharactersWithSpaces>28856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of the Decision on public compensation for the provision of services of general economic interest (2012/21/EU) (Own-initiative opinion)</dc:title>
  <dc:subject>Preliminary draft opinion</dc:subject>
  <dc:creator>Jana Hvizdosova</dc:creator>
  <cp:keywords>EESC-2016-05302-00-00-APA-TRA-EN</cp:keywords>
  <dc:description>Rapporteur: - ANGELOVA Original language: - EN Date of document: - 27/04/2017 Date of meeting: - 10/05/2017 External documents: -  Administrator responsible: - Mme Janicaudné Bazsik Agota</dc:description>
  <cp:lastModifiedBy>Florence Tornincasa</cp:lastModifiedBy>
  <cp:revision>2</cp:revision>
  <cp:lastPrinted>2017-04-26T08:18:00Z</cp:lastPrinted>
  <dcterms:created xsi:type="dcterms:W3CDTF">2017-05-17T10:06:00Z</dcterms:created>
  <dcterms:modified xsi:type="dcterms:W3CDTF">2017-05-17T10:06:00Z</dcterms:modified>
  <cp:category>TEN/605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27/04/2017, 27/04/2017, 24/03/2017, 04/11/2015, 27/10/2015, 19/10/2015, 09/10/2015, 05/10/2015, 05/10/2015, 26/08/2015, 26/08/2015, 25/08/2015</vt:lpwstr>
  </property>
  <property fmtid="{D5CDD505-2E9C-101B-9397-08002B2CF9AE}" pid="4" name="Pref_Time">
    <vt:lpwstr>14:06:20, 14:04:27, 14:12:22, 12/10/07, 14:44:02, 16/04/16, 14:09:30, 16:24:55, 16:04:02, 08:56:14, 07:27:56, 17:31:53</vt:lpwstr>
  </property>
  <property fmtid="{D5CDD505-2E9C-101B-9397-08002B2CF9AE}" pid="5" name="Pref_User">
    <vt:lpwstr>jhvi, jhvi, mkop, ssex, enied, amett, tvoc, mreg, mreg, amett, enied, ssex</vt:lpwstr>
  </property>
  <property fmtid="{D5CDD505-2E9C-101B-9397-08002B2CF9AE}" pid="6" name="Pref_FileName">
    <vt:lpwstr>EESC-2016-05302-00-00-APA-TRA-EN.docx, EESC-2016-05302-00-00-APA-EDI-EN.docx, EESC-2016-05302-00-00-DT-ORI.docx, EESC-2015-05408-00-00-PA-CRR-EN.docx, EESC-2015-05408-00-01-APA-ORI.docx, EESC-2015-04319-00-00-TCD-ORI.docx, EESC-2015-04319-00-01-APA-ORI.do</vt:lpwstr>
  </property>
  <property fmtid="{D5CDD505-2E9C-101B-9397-08002B2CF9AE}" pid="7" name="ContentTypeId">
    <vt:lpwstr>0x010100EA97B91038054C99906057A708A1480A006569393C852D1B41981698C0C702B5A1</vt:lpwstr>
  </property>
  <property fmtid="{D5CDD505-2E9C-101B-9397-08002B2CF9AE}" pid="8" name="_dlc_DocIdItemGuid">
    <vt:lpwstr>7432fc50-917d-49d8-80ba-23dcaa3ce6f7</vt:lpwstr>
  </property>
  <property fmtid="{D5CDD505-2E9C-101B-9397-08002B2CF9AE}" pid="9" name="AvailableTranslations">
    <vt:lpwstr>10;#EN|f2175f21-25d7-44a3-96da-d6a61b075e1b;#17;#NL|55c6556c-b4f4-441d-9acf-c498d4f838bd;#4;#FR|d2afafd3-4c81-4f60-8f52-ee33f2f54ff3;#22;#DE|f6b31e5a-26fa-4935-b661-318e46daf27e;#28;#ES|e7a6b05b-ae16-40c8-add9-68b64b03aeba</vt:lpwstr>
  </property>
  <property fmtid="{D5CDD505-2E9C-101B-9397-08002B2CF9AE}" pid="10" name="DossierName">
    <vt:lpwstr>45;#TEN|5e12260d-3aca-41f8-baf2-ad3d18475f10</vt:lpwstr>
  </property>
  <property fmtid="{D5CDD505-2E9C-101B-9397-08002B2CF9AE}" pid="11" name="DocumentStatus">
    <vt:lpwstr>2;#TRA|150d2a88-1431-44e6-a8ca-0bb753ab8672</vt:lpwstr>
  </property>
  <property fmtid="{D5CDD505-2E9C-101B-9397-08002B2CF9AE}" pid="12" name="Confidentiality">
    <vt:lpwstr>5;#Unrestricted|826e22d7-d029-4ec0-a450-0c28ff673572</vt:lpwstr>
  </property>
  <property fmtid="{D5CDD505-2E9C-101B-9397-08002B2CF9AE}" pid="13" name="OriginalLanguage">
    <vt:lpwstr>10;#EN|f2175f21-25d7-44a3-96da-d6a61b075e1b</vt:lpwstr>
  </property>
  <property fmtid="{D5CDD505-2E9C-101B-9397-08002B2CF9AE}" pid="14" name="MeetingName">
    <vt:lpwstr>333;#TEN/605|e3dfd64e-ea72-493f-9e27-2036e7631843</vt:lpwstr>
  </property>
  <property fmtid="{D5CDD505-2E9C-101B-9397-08002B2CF9AE}" pid="15" name="VersionStatus">
    <vt:lpwstr>6;#Final|ea5e6674-7b27-4bac-b091-73adbb394efe</vt:lpwstr>
  </property>
  <property fmtid="{D5CDD505-2E9C-101B-9397-08002B2CF9AE}" pid="16" name="DocumentSource">
    <vt:lpwstr>1;#EESC|422833ec-8d7e-4e65-8e4e-8bed07ffb729</vt:lpwstr>
  </property>
  <property fmtid="{D5CDD505-2E9C-101B-9397-08002B2CF9AE}" pid="17" name="DocumentType">
    <vt:lpwstr>84;#APA|51e7c348-311d-42d5-8c77-ec17e88062a9</vt:lpwstr>
  </property>
  <property fmtid="{D5CDD505-2E9C-101B-9397-08002B2CF9AE}" pid="18" name="DocumentLanguage">
    <vt:lpwstr>10;#EN|f2175f21-25d7-44a3-96da-d6a61b075e1b</vt:lpwstr>
  </property>
  <property fmtid="{D5CDD505-2E9C-101B-9397-08002B2CF9AE}" pid="19" name="DocumentType_0">
    <vt:lpwstr>APA|51e7c348-311d-42d5-8c77-ec17e88062a9</vt:lpwstr>
  </property>
  <property fmtid="{D5CDD505-2E9C-101B-9397-08002B2CF9AE}" pid="20" name="DossierName_0">
    <vt:lpwstr>TEN|5e12260d-3aca-41f8-baf2-ad3d18475f10</vt:lpwstr>
  </property>
  <property fmtid="{D5CDD505-2E9C-101B-9397-08002B2CF9AE}" pid="21" name="DocumentSource_0">
    <vt:lpwstr>EESC|422833ec-8d7e-4e65-8e4e-8bed07ffb729</vt:lpwstr>
  </property>
  <property fmtid="{D5CDD505-2E9C-101B-9397-08002B2CF9AE}" pid="22" name="Confidentiality_0">
    <vt:lpwstr>Unrestricted|826e22d7-d029-4ec0-a450-0c28ff673572</vt:lpwstr>
  </property>
  <property fmtid="{D5CDD505-2E9C-101B-9397-08002B2CF9AE}" pid="23" name="MeetingName_0">
    <vt:lpwstr>TEN/605|e3dfd64e-ea72-493f-9e27-2036e7631843</vt:lpwstr>
  </property>
  <property fmtid="{D5CDD505-2E9C-101B-9397-08002B2CF9AE}" pid="24" name="DocumentStatus_0">
    <vt:lpwstr>TRA|150d2a88-1431-44e6-a8ca-0bb753ab8672</vt:lpwstr>
  </property>
  <property fmtid="{D5CDD505-2E9C-101B-9397-08002B2CF9AE}" pid="25" name="OriginalLanguage_0">
    <vt:lpwstr>EN|f2175f21-25d7-44a3-96da-d6a61b075e1b</vt:lpwstr>
  </property>
  <property fmtid="{D5CDD505-2E9C-101B-9397-08002B2CF9AE}" pid="26" name="DocumentLanguage_0">
    <vt:lpwstr>ES|e7a6b05b-ae16-40c8-add9-68b64b03aeba</vt:lpwstr>
  </property>
  <property fmtid="{D5CDD505-2E9C-101B-9397-08002B2CF9AE}" pid="27" name="TaxCatchAll">
    <vt:lpwstr>45;#TEN|5e12260d-3aca-41f8-baf2-ad3d18475f10;#84;#APA|51e7c348-311d-42d5-8c77-ec17e88062a9;#333;#TEN/605|e3dfd64e-ea72-493f-9e27-2036e7631843;#10;#EN|f2175f21-25d7-44a3-96da-d6a61b075e1b;#28;#ES|e7a6b05b-ae16-40c8-add9-68b64b03aeba;#6;#Final|ea5e6674-7b27</vt:lpwstr>
  </property>
  <property fmtid="{D5CDD505-2E9C-101B-9397-08002B2CF9AE}" pid="28" name="AvailableTranslations_0">
    <vt:lpwstr/>
  </property>
  <property fmtid="{D5CDD505-2E9C-101B-9397-08002B2CF9AE}" pid="29" name="VersionStatus_0">
    <vt:lpwstr>Final|ea5e6674-7b27-4bac-b091-73adbb394efe</vt:lpwstr>
  </property>
  <property fmtid="{D5CDD505-2E9C-101B-9397-08002B2CF9AE}" pid="30" name="StyleCheckSum">
    <vt:lpwstr>45307_C24845_P156_L35</vt:lpwstr>
  </property>
  <property fmtid="{D5CDD505-2E9C-101B-9397-08002B2CF9AE}" pid="31" name="_dlc_DocId">
    <vt:lpwstr>SNS6YXTC77FS-6-5359</vt:lpwstr>
  </property>
  <property fmtid="{D5CDD505-2E9C-101B-9397-08002B2CF9AE}" pid="32" name="_dlc_DocIdUrl">
    <vt:lpwstr>http://dm/EESC/2015/_layouts/DocIdRedir.aspx?ID=SNS6YXTC77FS-6-5359, SNS6YXTC77FS-6-5359</vt:lpwstr>
  </property>
  <property fmtid="{D5CDD505-2E9C-101B-9397-08002B2CF9AE}" pid="33" name="MeetingNumber">
    <vt:i4>159</vt:i4>
  </property>
  <property fmtid="{D5CDD505-2E9C-101B-9397-08002B2CF9AE}" pid="34" name="ProductionDate">
    <vt:filetime>2015-10-12T14:00:00Z</vt:filetime>
  </property>
  <property fmtid="{D5CDD505-2E9C-101B-9397-08002B2CF9AE}" pid="35" name="DocumentNumber">
    <vt:i4>5302</vt:i4>
  </property>
  <property fmtid="{D5CDD505-2E9C-101B-9397-08002B2CF9AE}" pid="36" name="FicheYear">
    <vt:i4>2016</vt:i4>
  </property>
  <property fmtid="{D5CDD505-2E9C-101B-9397-08002B2CF9AE}" pid="37" name="DocumentVersion">
    <vt:i4>0</vt:i4>
  </property>
  <property fmtid="{D5CDD505-2E9C-101B-9397-08002B2CF9AE}" pid="38" name="DossierNumber">
    <vt:i4>605</vt:i4>
  </property>
  <property fmtid="{D5CDD505-2E9C-101B-9397-08002B2CF9AE}" pid="39" name="Rapporteur">
    <vt:lpwstr>ANGELOVA</vt:lpwstr>
  </property>
  <property fmtid="{D5CDD505-2E9C-101B-9397-08002B2CF9AE}" pid="40" name="DocumentYear">
    <vt:i4>2016</vt:i4>
  </property>
  <property fmtid="{D5CDD505-2E9C-101B-9397-08002B2CF9AE}" pid="41" name="FicheNumber">
    <vt:i4>4083</vt:i4>
  </property>
  <property fmtid="{D5CDD505-2E9C-101B-9397-08002B2CF9AE}" pid="42" name="DocumentPart">
    <vt:lpwstr>0</vt:lpwstr>
  </property>
  <property fmtid="{D5CDD505-2E9C-101B-9397-08002B2CF9AE}" pid="43" name="RequestingService">
    <vt:lpwstr>Transports, énergie, infrastructures, société de l'information</vt:lpwstr>
  </property>
  <property fmtid="{D5CDD505-2E9C-101B-9397-08002B2CF9AE}" pid="44" name="Procedure">
    <vt:lpwstr>2015/0208(COD)</vt:lpwstr>
  </property>
  <property fmtid="{D5CDD505-2E9C-101B-9397-08002B2CF9AE}" pid="45" name="MeetingDate">
    <vt:filetime>2017-05-10T12:00:00Z</vt:filetime>
  </property>
</Properties>
</file>